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E" w:rsidRPr="008D32E6" w:rsidRDefault="004A3ACE" w:rsidP="004A3ACE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</w:pPr>
      <w:r w:rsidRPr="008D32E6"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  <w:t>Pracovní skupina pro financování</w:t>
      </w:r>
    </w:p>
    <w:p w:rsidR="004A3ACE" w:rsidRPr="008D32E6" w:rsidRDefault="004A3ACE" w:rsidP="004A3ACE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</w:pPr>
    </w:p>
    <w:p w:rsidR="004A3ACE" w:rsidRPr="008D32E6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</w:pPr>
      <w:r w:rsidRPr="008D32E6"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  <w:t xml:space="preserve">Cíle a popis realizace </w:t>
      </w:r>
      <w:proofErr w:type="spellStart"/>
      <w:r w:rsidRPr="008D32E6"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  <w:t>podaktivity</w:t>
      </w:r>
      <w:proofErr w:type="spellEnd"/>
      <w:r w:rsidRPr="008D32E6">
        <w:rPr>
          <w:rFonts w:asciiTheme="minorHAnsi" w:eastAsia="Calibri" w:hAnsiTheme="minorHAnsi"/>
          <w:b/>
          <w:bCs/>
          <w:color w:val="000000"/>
          <w:spacing w:val="0"/>
          <w:lang w:eastAsia="en-US"/>
        </w:rPr>
        <w:t xml:space="preserve"> </w:t>
      </w:r>
    </w:p>
    <w:p w:rsidR="006E7502" w:rsidRDefault="006E7502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color w:val="000000"/>
          <w:spacing w:val="0"/>
          <w:lang w:eastAsia="en-US"/>
        </w:rPr>
      </w:pPr>
    </w:p>
    <w:p w:rsidR="004A3ACE" w:rsidRPr="008D32E6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592629">
        <w:rPr>
          <w:rFonts w:asciiTheme="minorHAnsi" w:eastAsia="Calibri" w:hAnsiTheme="minorHAnsi"/>
          <w:bCs/>
          <w:color w:val="000000"/>
          <w:spacing w:val="0"/>
          <w:lang w:eastAsia="en-US"/>
        </w:rPr>
        <w:t>Pracovní skupina se schází minimálně 4 x ročně</w:t>
      </w:r>
      <w:r>
        <w:rPr>
          <w:rFonts w:asciiTheme="minorHAnsi" w:eastAsia="Calibri" w:hAnsiTheme="minorHAnsi"/>
          <w:bCs/>
          <w:color w:val="000000"/>
          <w:spacing w:val="0"/>
          <w:lang w:eastAsia="en-US"/>
        </w:rPr>
        <w:t xml:space="preserve"> a 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výstupy z jednání formou doporučení předkládá Ř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ídícímu výboru 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MAP. </w:t>
      </w:r>
    </w:p>
    <w:p w:rsidR="004A3ACE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Pr="008D32E6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Obsahem práce je plánování nákladů a zejména identifikace finančních zdrojů pro realizaci naplánovaných aktivit. 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>Výsledkem práce jsou z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pracované návrhy financování aktivit navržených ostatními pracovními skupinami. Cílem je návrh způsobu financování realizace aktivit v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>e Strategickém rámci MAP nebo ročním akčním plánu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. Jedná se o doporučení jednotlivých finančních zdrojů (strukturální fondy EU, státní rozpočet ČR, rozpočet kraje, dohodnuté financování v rámci </w:t>
      </w:r>
      <w:proofErr w:type="spellStart"/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Mikroregionu</w:t>
      </w:r>
      <w:proofErr w:type="spellEnd"/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, rozpočty jednotlivých obcí, rozpočty škol, jiné zdroje apod.). </w:t>
      </w:r>
    </w:p>
    <w:p w:rsidR="004A3ACE" w:rsidRPr="008D32E6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Pr="008D32E6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>
        <w:rPr>
          <w:rFonts w:asciiTheme="minorHAnsi" w:eastAsia="Calibri" w:hAnsiTheme="minorHAnsi"/>
          <w:color w:val="000000"/>
          <w:spacing w:val="0"/>
          <w:lang w:eastAsia="en-US"/>
        </w:rPr>
        <w:t>Pracovní skupin se a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ktivně podílí na celém procesu společného plánování v území a</w:t>
      </w:r>
      <w:r w:rsidR="002141E3">
        <w:rPr>
          <w:rFonts w:asciiTheme="minorHAnsi" w:eastAsia="Calibri" w:hAnsiTheme="minorHAnsi"/>
          <w:color w:val="000000"/>
          <w:spacing w:val="0"/>
          <w:lang w:eastAsia="en-US"/>
        </w:rPr>
        <w:t> 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aktualizaci dokument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u MAP, tj. 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projednává a připomínkuje všechny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 materiály relevantní pro pracovní skupiny.</w:t>
      </w:r>
    </w:p>
    <w:p w:rsidR="004A3ACE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Pr="008D32E6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P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racovní skupina 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pro financování může mít vytvořeny pracovní podskupiny.</w:t>
      </w:r>
    </w:p>
    <w:p w:rsidR="004A3ACE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Pr="008D32E6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spacing w:val="0"/>
          <w:lang w:eastAsia="en-US"/>
        </w:rPr>
      </w:pP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Pracovní skupina 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se může zabývat i dalšími tématy: </w:t>
      </w:r>
      <w:proofErr w:type="spellStart"/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prioritizace</w:t>
      </w:r>
      <w:proofErr w:type="spellEnd"/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 investičních záměrů v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>e Strategickém rámci</w:t>
      </w: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 MAP – nastavení optimální sítě škol a školských zařízení v území, posouzení zdůvodnění potřebnosti, využitelnosti, efektivity </w:t>
      </w:r>
      <w:r w:rsidRPr="008D32E6">
        <w:rPr>
          <w:rFonts w:asciiTheme="minorHAnsi" w:eastAsia="Calibri" w:hAnsiTheme="minorHAnsi"/>
          <w:spacing w:val="0"/>
          <w:lang w:eastAsia="en-US"/>
        </w:rPr>
        <w:t xml:space="preserve">a udržitelnosti investičních záměrů předkládaných do </w:t>
      </w:r>
      <w:r>
        <w:rPr>
          <w:rFonts w:asciiTheme="minorHAnsi" w:eastAsia="Calibri" w:hAnsiTheme="minorHAnsi"/>
          <w:spacing w:val="0"/>
          <w:lang w:eastAsia="en-US"/>
        </w:rPr>
        <w:t xml:space="preserve">Strategického rámce </w:t>
      </w:r>
      <w:r w:rsidRPr="008D32E6">
        <w:rPr>
          <w:rFonts w:asciiTheme="minorHAnsi" w:eastAsia="Calibri" w:hAnsiTheme="minorHAnsi"/>
          <w:spacing w:val="0"/>
          <w:lang w:eastAsia="en-US"/>
        </w:rPr>
        <w:t xml:space="preserve">MAP v kontextu daného území (využití metod </w:t>
      </w:r>
      <w:proofErr w:type="spellStart"/>
      <w:r w:rsidRPr="008D32E6">
        <w:rPr>
          <w:rFonts w:asciiTheme="minorHAnsi" w:eastAsia="Calibri" w:hAnsiTheme="minorHAnsi"/>
          <w:spacing w:val="0"/>
          <w:lang w:eastAsia="en-US"/>
        </w:rPr>
        <w:t>prioritizace</w:t>
      </w:r>
      <w:proofErr w:type="spellEnd"/>
      <w:r w:rsidRPr="008D32E6">
        <w:rPr>
          <w:rFonts w:asciiTheme="minorHAnsi" w:eastAsia="Calibri" w:hAnsiTheme="minorHAnsi"/>
          <w:spacing w:val="0"/>
          <w:lang w:eastAsia="en-US"/>
        </w:rPr>
        <w:t xml:space="preserve"> investice, popsaných v Postupech MAP II), vytvoření návrhu jednotné metodiky financování provozu škol a školských zařízení na daném území, která bude garantovat kvalitní zázemí pro počáteční vzdělávání na všech školách v regionu. Součástí může být i zvážení možnosti společného postupu při nákupu energií a dalších komodit vedoucích k úsporám. Důležitou sférou, kterou se pracovní skupina může zabývat, je podpora škol v oblasti poradenství a administrativně správního servisu. Jedná se o právní, správní, personální, finanční, účetní, manažerské poradenství a možnost pomoci při čerpání prostředků ze strukturálních fondů EU. Cílem je navrhnout systémová opatření, která povedou ke snížení administrativní zátěže vedení škol. </w:t>
      </w: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color w:val="000000"/>
          <w:spacing w:val="0"/>
          <w:lang w:eastAsia="en-US"/>
        </w:rPr>
      </w:pPr>
      <w:r>
        <w:rPr>
          <w:rFonts w:asciiTheme="minorHAnsi" w:eastAsia="Calibri" w:hAnsiTheme="minorHAnsi"/>
          <w:b/>
          <w:color w:val="000000"/>
          <w:spacing w:val="0"/>
          <w:lang w:eastAsia="en-US"/>
        </w:rPr>
        <w:t>Příklad zaměření aktivit podskupin:</w:t>
      </w: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b/>
          <w:color w:val="000000"/>
          <w:spacing w:val="0"/>
          <w:lang w:eastAsia="en-US"/>
        </w:rPr>
        <w:t xml:space="preserve">Podskupina 1 – Dostupnost vzdělávání, rozvoj kapacit a financování školství </w:t>
      </w: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Tato podskupina má za úkol: </w:t>
      </w:r>
      <w:bookmarkStart w:id="0" w:name="_GoBack"/>
      <w:bookmarkEnd w:id="0"/>
    </w:p>
    <w:p w:rsidR="004A3ACE" w:rsidRPr="00451283" w:rsidRDefault="004A3ACE" w:rsidP="004A3AC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proofErr w:type="spellStart"/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>prioritizaci</w:t>
      </w:r>
      <w:proofErr w:type="spellEnd"/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 investičních záměrů.</w:t>
      </w: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Dále se může zabývat následujícími oblastmi: </w:t>
      </w:r>
    </w:p>
    <w:p w:rsidR="004A3ACE" w:rsidRPr="00451283" w:rsidRDefault="004A3ACE" w:rsidP="004A3AC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nastavení optimální sítě škol a školských zařízení, </w:t>
      </w:r>
    </w:p>
    <w:p w:rsidR="004A3ACE" w:rsidRPr="00451283" w:rsidRDefault="004A3ACE" w:rsidP="004A3AC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investice do rozvoje kapacit škol a školských zařízení, </w:t>
      </w:r>
    </w:p>
    <w:p w:rsidR="004A3ACE" w:rsidRPr="00451283" w:rsidRDefault="004A3ACE" w:rsidP="004A3AC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posílení vzájemné spolupráce aktérů ve vzdělávání v oblasti využití infrastruktury (MŠ, ZŠ, SŠ, SVČ, rodiče, NO, podniky, zřizovatelé). </w:t>
      </w: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b/>
          <w:color w:val="000000"/>
          <w:spacing w:val="0"/>
          <w:lang w:eastAsia="en-US"/>
        </w:rPr>
        <w:t xml:space="preserve">Podskupina 2 – Podpora vzdělávání </w:t>
      </w: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Hlavním smyslem činnosti této podskupiny by mělo být hledání společných postupů a popř. metodických doporučení, jak jednotlivé oblasti ve školách řešit, hledání cest k systémovému snížení administrativní zátěže a popř. úspoře finančních prostředků např. za výdaje na služby (IT, právní apod.) napříč územím. </w:t>
      </w:r>
    </w:p>
    <w:p w:rsidR="004A3ACE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Tato podskupina může mít za úkol realizovat nebo do budoucna naplánovat společný postup: </w:t>
      </w:r>
    </w:p>
    <w:p w:rsidR="004A3ACE" w:rsidRPr="00451283" w:rsidRDefault="004A3ACE" w:rsidP="004A3AC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při poskytování poradenství a administrativního servisu pro školy v území (právní, ekonomické, manažerské a grantové poradenství; podpora v oblasti IT, účetnictví, administrativní, BOZP), </w:t>
      </w:r>
    </w:p>
    <w:p w:rsidR="004A3ACE" w:rsidRPr="00451283" w:rsidRDefault="004A3ACE" w:rsidP="004A3AC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při podpoře poradenských služeb (obdobně jako pro školy), </w:t>
      </w:r>
    </w:p>
    <w:p w:rsidR="004A3ACE" w:rsidRPr="00451283" w:rsidRDefault="004A3ACE" w:rsidP="004A3AC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při poskytování poradenství v oblasti dotací pro organizace podílející se na akčním plánování. </w:t>
      </w:r>
    </w:p>
    <w:p w:rsidR="004A3ACE" w:rsidRPr="00451283" w:rsidRDefault="004A3ACE" w:rsidP="004A3ACE">
      <w:pPr>
        <w:jc w:val="both"/>
        <w:rPr>
          <w:rFonts w:asciiTheme="minorHAnsi" w:hAnsiTheme="minorHAnsi"/>
        </w:rPr>
      </w:pPr>
    </w:p>
    <w:p w:rsidR="004A3ACE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V pracovní skupině může být zřízena pozice, která bude zaměřena na koordinaci šablon – pověřená osoba bude tedy pomáhat školám s realizací projektů šablon – např. koordinací aktivit v šablonách typu sdílení zkušeností, koordinaci v oblasti personálního pokrytí personálních šablon, popř. koordinace a organizace realizace programů DVPP pro školy (realizace na území MAP v termínech vyhovujících samotným školám – účast si pedagogičtí pracovníci škol budou hradit z projektů šablon). </w:t>
      </w:r>
    </w:p>
    <w:p w:rsidR="004A3ACE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</w:p>
    <w:p w:rsidR="004A3ACE" w:rsidRPr="00451283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Členem 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pracovní skupiny </w:t>
      </w: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 xml:space="preserve">může být pracovník se zkušenostmi z právní oblasti ve školství, který bude návrhy </w:t>
      </w:r>
      <w:r>
        <w:rPr>
          <w:rFonts w:asciiTheme="minorHAnsi" w:eastAsia="Calibri" w:hAnsiTheme="minorHAnsi"/>
          <w:color w:val="000000"/>
          <w:spacing w:val="0"/>
          <w:lang w:eastAsia="en-US"/>
        </w:rPr>
        <w:t xml:space="preserve">pracovní skupiny </w:t>
      </w:r>
      <w:r w:rsidRPr="00451283">
        <w:rPr>
          <w:rFonts w:asciiTheme="minorHAnsi" w:eastAsia="Calibri" w:hAnsiTheme="minorHAnsi"/>
          <w:color w:val="000000"/>
          <w:spacing w:val="0"/>
          <w:lang w:eastAsia="en-US"/>
        </w:rPr>
        <w:t>upravovat s ohledem na platnou legislativu a může být nápomocen i ředitelům škol v území.</w:t>
      </w:r>
    </w:p>
    <w:p w:rsidR="004A3ACE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color w:val="000000"/>
          <w:spacing w:val="0"/>
          <w:lang w:eastAsia="en-US"/>
        </w:rPr>
      </w:pPr>
    </w:p>
    <w:p w:rsidR="004A3ACE" w:rsidRPr="008D32E6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color w:val="000000"/>
          <w:spacing w:val="0"/>
          <w:lang w:eastAsia="en-US"/>
        </w:rPr>
      </w:pPr>
      <w:r>
        <w:rPr>
          <w:rFonts w:asciiTheme="minorHAnsi" w:eastAsia="Calibri" w:hAnsiTheme="minorHAnsi"/>
          <w:b/>
          <w:color w:val="000000"/>
          <w:spacing w:val="0"/>
          <w:lang w:eastAsia="en-US"/>
        </w:rPr>
        <w:t>Metodický výklad:</w:t>
      </w:r>
      <w:r w:rsidRPr="008D32E6">
        <w:rPr>
          <w:rFonts w:asciiTheme="minorHAnsi" w:eastAsia="Calibri" w:hAnsiTheme="minorHAnsi"/>
          <w:b/>
          <w:color w:val="000000"/>
          <w:spacing w:val="0"/>
          <w:lang w:eastAsia="en-US"/>
        </w:rPr>
        <w:t xml:space="preserve"> </w:t>
      </w:r>
    </w:p>
    <w:p w:rsidR="004A3ACE" w:rsidRPr="008D32E6" w:rsidRDefault="004A3ACE" w:rsidP="004A3ACE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pacing w:val="0"/>
          <w:lang w:eastAsia="en-US"/>
        </w:rPr>
      </w:pPr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Realizací této </w:t>
      </w:r>
      <w:proofErr w:type="spellStart"/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podaktivity</w:t>
      </w:r>
      <w:proofErr w:type="spellEnd"/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 jsou naplňovány tyto složky akce KLIMA: </w:t>
      </w:r>
      <w:proofErr w:type="spellStart"/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>Leadership</w:t>
      </w:r>
      <w:proofErr w:type="spellEnd"/>
      <w:r w:rsidRPr="008D32E6">
        <w:rPr>
          <w:rFonts w:asciiTheme="minorHAnsi" w:eastAsia="Calibri" w:hAnsiTheme="minorHAnsi"/>
          <w:color w:val="000000"/>
          <w:spacing w:val="0"/>
          <w:lang w:eastAsia="en-US"/>
        </w:rPr>
        <w:t xml:space="preserve">. </w:t>
      </w:r>
    </w:p>
    <w:p w:rsidR="004A3ACE" w:rsidRDefault="004A3ACE" w:rsidP="004A3ACE">
      <w:pPr>
        <w:rPr>
          <w:rFonts w:asciiTheme="minorHAnsi" w:hAnsiTheme="minorHAnsi"/>
          <w:b/>
          <w:sz w:val="32"/>
          <w:szCs w:val="32"/>
        </w:rPr>
      </w:pPr>
    </w:p>
    <w:p w:rsidR="004A3ACE" w:rsidRDefault="004A3ACE" w:rsidP="004A3ACE">
      <w:pPr>
        <w:jc w:val="both"/>
        <w:rPr>
          <w:rFonts w:asciiTheme="minorHAnsi" w:hAnsiTheme="minorHAnsi"/>
        </w:rPr>
      </w:pPr>
    </w:p>
    <w:p w:rsidR="0063174A" w:rsidRPr="004A3ACE" w:rsidRDefault="0063174A" w:rsidP="004A3ACE">
      <w:pPr>
        <w:rPr>
          <w:szCs w:val="32"/>
        </w:rPr>
      </w:pPr>
    </w:p>
    <w:sectPr w:rsidR="0063174A" w:rsidRPr="004A3ACE" w:rsidSect="00B15D67">
      <w:headerReference w:type="default" r:id="rId8"/>
      <w:footerReference w:type="default" r:id="rId9"/>
      <w:pgSz w:w="11906" w:h="16838" w:code="9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CC" w:rsidRDefault="00AC58CC" w:rsidP="00C075E9">
      <w:r>
        <w:separator/>
      </w:r>
    </w:p>
  </w:endnote>
  <w:endnote w:type="continuationSeparator" w:id="0">
    <w:p w:rsidR="00AC58CC" w:rsidRDefault="00AC58CC" w:rsidP="00C0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88" w:rsidRPr="00321745" w:rsidRDefault="00D73649" w:rsidP="00321745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CC" w:rsidRDefault="00AC58CC" w:rsidP="00C075E9">
      <w:r>
        <w:separator/>
      </w:r>
    </w:p>
  </w:footnote>
  <w:footnote w:type="continuationSeparator" w:id="0">
    <w:p w:rsidR="00AC58CC" w:rsidRDefault="00AC58CC" w:rsidP="00C0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81" w:rsidRPr="00C60E88" w:rsidRDefault="00D73649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738" y="4025"/>
              <wp:lineTo x="1106" y="17249"/>
              <wp:lineTo x="9589" y="17249"/>
              <wp:lineTo x="20653" y="15524"/>
              <wp:lineTo x="20653" y="12650"/>
              <wp:lineTo x="15121" y="7475"/>
              <wp:lineTo x="9958" y="4025"/>
              <wp:lineTo x="738" y="402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0" t="0" r="0" b="5715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03AD2"/>
    <w:multiLevelType w:val="multilevel"/>
    <w:tmpl w:val="B384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B23B6"/>
    <w:multiLevelType w:val="hybridMultilevel"/>
    <w:tmpl w:val="60BEE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073496"/>
    <w:multiLevelType w:val="hybridMultilevel"/>
    <w:tmpl w:val="28C69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6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7502"/>
    <w:rsid w:val="00010A76"/>
    <w:rsid w:val="00015357"/>
    <w:rsid w:val="000662EF"/>
    <w:rsid w:val="00083FBB"/>
    <w:rsid w:val="00091E2A"/>
    <w:rsid w:val="000A4BB1"/>
    <w:rsid w:val="000A62DE"/>
    <w:rsid w:val="000D7F71"/>
    <w:rsid w:val="000E1222"/>
    <w:rsid w:val="000E649E"/>
    <w:rsid w:val="001030AA"/>
    <w:rsid w:val="00122E72"/>
    <w:rsid w:val="00130446"/>
    <w:rsid w:val="00143EE0"/>
    <w:rsid w:val="001466EB"/>
    <w:rsid w:val="0015299D"/>
    <w:rsid w:val="00153411"/>
    <w:rsid w:val="001A3D75"/>
    <w:rsid w:val="001A7BF5"/>
    <w:rsid w:val="001D237E"/>
    <w:rsid w:val="002141E3"/>
    <w:rsid w:val="002205A6"/>
    <w:rsid w:val="002367DC"/>
    <w:rsid w:val="00253410"/>
    <w:rsid w:val="0028548C"/>
    <w:rsid w:val="00295D05"/>
    <w:rsid w:val="002A4EE4"/>
    <w:rsid w:val="002A710E"/>
    <w:rsid w:val="002C1213"/>
    <w:rsid w:val="002C7D5D"/>
    <w:rsid w:val="002D08E1"/>
    <w:rsid w:val="002F6ED8"/>
    <w:rsid w:val="00321745"/>
    <w:rsid w:val="00354189"/>
    <w:rsid w:val="00363717"/>
    <w:rsid w:val="00375556"/>
    <w:rsid w:val="003940F2"/>
    <w:rsid w:val="003C53AF"/>
    <w:rsid w:val="003D0CF6"/>
    <w:rsid w:val="003D4DC6"/>
    <w:rsid w:val="003E57AF"/>
    <w:rsid w:val="00413276"/>
    <w:rsid w:val="004171B6"/>
    <w:rsid w:val="00444996"/>
    <w:rsid w:val="004519F8"/>
    <w:rsid w:val="00461314"/>
    <w:rsid w:val="00467D5E"/>
    <w:rsid w:val="00492D43"/>
    <w:rsid w:val="004A3ACE"/>
    <w:rsid w:val="004B4006"/>
    <w:rsid w:val="004D476A"/>
    <w:rsid w:val="00504938"/>
    <w:rsid w:val="00525D46"/>
    <w:rsid w:val="005407BD"/>
    <w:rsid w:val="00581B63"/>
    <w:rsid w:val="00594D06"/>
    <w:rsid w:val="005B323C"/>
    <w:rsid w:val="00611754"/>
    <w:rsid w:val="006168B6"/>
    <w:rsid w:val="00617958"/>
    <w:rsid w:val="0063174A"/>
    <w:rsid w:val="0063559F"/>
    <w:rsid w:val="00635A45"/>
    <w:rsid w:val="006564E0"/>
    <w:rsid w:val="00693263"/>
    <w:rsid w:val="006C40CB"/>
    <w:rsid w:val="006E7502"/>
    <w:rsid w:val="006F29BE"/>
    <w:rsid w:val="006F514E"/>
    <w:rsid w:val="00730D9F"/>
    <w:rsid w:val="00765ABC"/>
    <w:rsid w:val="00775E49"/>
    <w:rsid w:val="007802C3"/>
    <w:rsid w:val="00781E5C"/>
    <w:rsid w:val="00785D44"/>
    <w:rsid w:val="007963AB"/>
    <w:rsid w:val="007A3D2E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64F69"/>
    <w:rsid w:val="00870BB8"/>
    <w:rsid w:val="00872283"/>
    <w:rsid w:val="00881CAB"/>
    <w:rsid w:val="00882832"/>
    <w:rsid w:val="008C5064"/>
    <w:rsid w:val="008D27C4"/>
    <w:rsid w:val="008F024C"/>
    <w:rsid w:val="008F3238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311E"/>
    <w:rsid w:val="00A53B67"/>
    <w:rsid w:val="00A54839"/>
    <w:rsid w:val="00A91072"/>
    <w:rsid w:val="00AA73CC"/>
    <w:rsid w:val="00AB09E7"/>
    <w:rsid w:val="00AC420A"/>
    <w:rsid w:val="00AC58CC"/>
    <w:rsid w:val="00AE6020"/>
    <w:rsid w:val="00B15D67"/>
    <w:rsid w:val="00B23221"/>
    <w:rsid w:val="00B5642A"/>
    <w:rsid w:val="00B62876"/>
    <w:rsid w:val="00B67A63"/>
    <w:rsid w:val="00B74487"/>
    <w:rsid w:val="00BA03C7"/>
    <w:rsid w:val="00BA1BF2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6192"/>
    <w:rsid w:val="00C60E88"/>
    <w:rsid w:val="00C725B5"/>
    <w:rsid w:val="00C9792D"/>
    <w:rsid w:val="00CC0413"/>
    <w:rsid w:val="00CD337A"/>
    <w:rsid w:val="00D16341"/>
    <w:rsid w:val="00D25EE3"/>
    <w:rsid w:val="00D40A78"/>
    <w:rsid w:val="00D55D68"/>
    <w:rsid w:val="00D73649"/>
    <w:rsid w:val="00D80936"/>
    <w:rsid w:val="00DA0AB3"/>
    <w:rsid w:val="00DB103C"/>
    <w:rsid w:val="00DB5964"/>
    <w:rsid w:val="00DD4CF3"/>
    <w:rsid w:val="00E27F4A"/>
    <w:rsid w:val="00E37696"/>
    <w:rsid w:val="00E80FC0"/>
    <w:rsid w:val="00E84911"/>
    <w:rsid w:val="00E86AB8"/>
    <w:rsid w:val="00E91A06"/>
    <w:rsid w:val="00E9473A"/>
    <w:rsid w:val="00EB3815"/>
    <w:rsid w:val="00EC7767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C243B"/>
    <w:rsid w:val="00FD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3ACE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61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C36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Pracovn&#237;%20skupiny\PS_&#268;G_&#269;len_2018_12_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1B2A-28C6-4490-AB21-F1CD2081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PS_ČG_člen_2018_12_13.dotx</Template>
  <TotalTime>31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cp:lastPrinted>2018-12-13T09:23:00Z</cp:lastPrinted>
  <dcterms:created xsi:type="dcterms:W3CDTF">2018-12-13T11:54:00Z</dcterms:created>
  <dcterms:modified xsi:type="dcterms:W3CDTF">2018-12-13T12:25:00Z</dcterms:modified>
</cp:coreProperties>
</file>