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C4" w:rsidRDefault="00D118C4" w:rsidP="00D118C4">
      <w:pPr>
        <w:jc w:val="center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 xml:space="preserve">HLAVNÍ TÉMATA MAP pro ORP Jičín dle Metodiky MŠMT a výsledku dotazníku </w:t>
      </w:r>
      <w:r w:rsidR="00F8290D">
        <w:rPr>
          <w:b/>
          <w:sz w:val="24"/>
          <w:szCs w:val="24"/>
        </w:rPr>
        <w:t>MŠMT</w:t>
      </w:r>
    </w:p>
    <w:p w:rsidR="00F8290D" w:rsidRPr="000A11F6" w:rsidRDefault="00F8290D" w:rsidP="00D11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MATEŘSKÉ ŠKOLY</w:t>
      </w:r>
    </w:p>
    <w:p w:rsidR="00F8290D" w:rsidRDefault="003C224D" w:rsidP="00F82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Výsledky dotazníkového šetření MŠMT - dotazník vyplnilo 29 ředitelství MŠ ORP Jičín</w:t>
      </w:r>
    </w:p>
    <w:p w:rsidR="00F8290D" w:rsidRDefault="00F8290D" w:rsidP="00F8290D">
      <w:pPr>
        <w:spacing w:after="0" w:line="240" w:lineRule="auto"/>
        <w:jc w:val="both"/>
        <w:rPr>
          <w:sz w:val="24"/>
          <w:szCs w:val="24"/>
        </w:rPr>
      </w:pPr>
    </w:p>
    <w:p w:rsidR="00D118C4" w:rsidRPr="00942154" w:rsidRDefault="004A481A" w:rsidP="00F8290D">
      <w:pPr>
        <w:spacing w:after="0" w:line="360" w:lineRule="auto"/>
        <w:jc w:val="both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t>POVINNÁ TÉMATA – TÉMATA A</w:t>
      </w:r>
    </w:p>
    <w:p w:rsidR="00D118C4" w:rsidRPr="00942154" w:rsidRDefault="004A481A" w:rsidP="00F8290D">
      <w:pPr>
        <w:spacing w:after="0" w:line="360" w:lineRule="auto"/>
        <w:jc w:val="both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t xml:space="preserve">Téma č. 1 </w:t>
      </w:r>
      <w:r w:rsidR="00F8290D" w:rsidRPr="00942154">
        <w:rPr>
          <w:b/>
          <w:sz w:val="28"/>
          <w:szCs w:val="28"/>
        </w:rPr>
        <w:t>P</w:t>
      </w:r>
      <w:r w:rsidR="00D118C4" w:rsidRPr="00942154">
        <w:rPr>
          <w:b/>
          <w:sz w:val="28"/>
          <w:szCs w:val="28"/>
        </w:rPr>
        <w:t>ředškolní vzdělávání a péče: dostupnost - inkluze – kvalita</w:t>
      </w:r>
    </w:p>
    <w:p w:rsidR="00B7105E" w:rsidRPr="00B7105E" w:rsidRDefault="00B7105E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E7EFB" w:rsidTr="00CD72AC">
        <w:tc>
          <w:tcPr>
            <w:tcW w:w="7479" w:type="dxa"/>
            <w:shd w:val="clear" w:color="auto" w:fill="FBD4B4" w:themeFill="accent6" w:themeFillTint="66"/>
          </w:tcPr>
          <w:p w:rsidR="001E7EFB" w:rsidRPr="00CD72AC" w:rsidRDefault="004A481A" w:rsidP="004A481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inkluzivního/společného vzdělávání - p</w:t>
            </w:r>
            <w:r w:rsidR="00B7105E">
              <w:rPr>
                <w:b/>
                <w:sz w:val="24"/>
                <w:szCs w:val="24"/>
              </w:rPr>
              <w:t xml:space="preserve">lánované zlepšení </w:t>
            </w:r>
            <w:r w:rsidR="003C224D">
              <w:rPr>
                <w:b/>
                <w:sz w:val="24"/>
                <w:szCs w:val="24"/>
              </w:rPr>
              <w:t>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1E7EFB" w:rsidRPr="00CD72AC" w:rsidRDefault="001E7EFB" w:rsidP="001E7E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1E7EFB" w:rsidTr="001E7EFB">
        <w:tc>
          <w:tcPr>
            <w:tcW w:w="7479" w:type="dxa"/>
          </w:tcPr>
          <w:p w:rsidR="001E7EFB" w:rsidRDefault="001E7EFB" w:rsidP="001E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Pedagogové školy jsou </w:t>
            </w:r>
            <w:r w:rsidR="00CD72AC">
              <w:rPr>
                <w:sz w:val="24"/>
                <w:szCs w:val="24"/>
              </w:rPr>
              <w:t xml:space="preserve">schopni </w:t>
            </w:r>
            <w:r>
              <w:rPr>
                <w:sz w:val="24"/>
                <w:szCs w:val="24"/>
              </w:rPr>
              <w:t>vhodně přizpůsobit obsah vzdělávání, upravit formy a metody vzdělávání a nastavit různé úrovně obtížnosti v souladu se specifiky a potřebami dětí tak, aby bylo dosaženo a využito maximálních možností vzdělávaného dítěte</w:t>
            </w:r>
          </w:p>
        </w:tc>
        <w:tc>
          <w:tcPr>
            <w:tcW w:w="1733" w:type="dxa"/>
          </w:tcPr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1E7EFB" w:rsidTr="001E7EFB">
        <w:tc>
          <w:tcPr>
            <w:tcW w:w="7479" w:type="dxa"/>
          </w:tcPr>
          <w:p w:rsidR="001E7EFB" w:rsidRDefault="001E7EFB" w:rsidP="001E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Vedení školy vytváří podmínky pro realizaci inkluzivních principů ve vzdělávání na škole (zajišťování odborné, materiální a finanční podpory, dalšího vzdělávání pedagogických pracovníků, vzájemného učení </w:t>
            </w:r>
            <w:proofErr w:type="spellStart"/>
            <w:r>
              <w:rPr>
                <w:sz w:val="24"/>
                <w:szCs w:val="24"/>
              </w:rPr>
              <w:t>pedag</w:t>
            </w:r>
            <w:proofErr w:type="spellEnd"/>
            <w:r>
              <w:rPr>
                <w:sz w:val="24"/>
                <w:szCs w:val="24"/>
              </w:rPr>
              <w:t xml:space="preserve">. pracovníků, pravidelná metodická setkání členů </w:t>
            </w:r>
            <w:proofErr w:type="spellStart"/>
            <w:r>
              <w:rPr>
                <w:sz w:val="24"/>
                <w:szCs w:val="24"/>
              </w:rPr>
              <w:t>pedag</w:t>
            </w:r>
            <w:proofErr w:type="spellEnd"/>
            <w:r>
              <w:rPr>
                <w:sz w:val="24"/>
                <w:szCs w:val="24"/>
              </w:rPr>
              <w:t>. sboru aj.)</w:t>
            </w:r>
          </w:p>
        </w:tc>
        <w:tc>
          <w:tcPr>
            <w:tcW w:w="1733" w:type="dxa"/>
          </w:tcPr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1E7EFB" w:rsidTr="001E7EFB">
        <w:tc>
          <w:tcPr>
            <w:tcW w:w="7479" w:type="dxa"/>
          </w:tcPr>
          <w:p w:rsidR="001E7EFB" w:rsidRDefault="00CD72AC" w:rsidP="001E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upravuje organizaci a průběh vzdělávání v souladu s potřebami dětí se speciálními vzdělávacími potřebami</w:t>
            </w:r>
          </w:p>
        </w:tc>
        <w:tc>
          <w:tcPr>
            <w:tcW w:w="1733" w:type="dxa"/>
          </w:tcPr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72AC" w:rsidRDefault="00CD72AC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</w:tbl>
    <w:p w:rsidR="001E7EFB" w:rsidRDefault="001E7EFB" w:rsidP="001E7EFB">
      <w:pPr>
        <w:spacing w:after="0" w:line="240" w:lineRule="auto"/>
        <w:jc w:val="both"/>
        <w:rPr>
          <w:sz w:val="24"/>
          <w:szCs w:val="24"/>
        </w:rPr>
      </w:pPr>
    </w:p>
    <w:p w:rsidR="00CD72AC" w:rsidRDefault="00CD72AC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D72AC" w:rsidTr="00CD72AC">
        <w:tc>
          <w:tcPr>
            <w:tcW w:w="7479" w:type="dxa"/>
            <w:shd w:val="clear" w:color="auto" w:fill="FBD4B4" w:themeFill="accent6" w:themeFillTint="66"/>
          </w:tcPr>
          <w:p w:rsidR="00CD72AC" w:rsidRPr="00CD72AC" w:rsidRDefault="00CD72AC" w:rsidP="005243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Překážky v oblasti podpory inkluzivního/společného vzdělávání</w:t>
            </w:r>
          </w:p>
          <w:p w:rsidR="00CD72AC" w:rsidRPr="00CD72AC" w:rsidRDefault="009D731A" w:rsidP="003002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(škola mohla zvolit </w:t>
            </w:r>
            <w:r w:rsidR="003002A7">
              <w:rPr>
                <w:b/>
                <w:sz w:val="24"/>
                <w:szCs w:val="24"/>
              </w:rPr>
              <w:t>libovolný počet</w:t>
            </w:r>
            <w:r>
              <w:rPr>
                <w:b/>
                <w:sz w:val="24"/>
                <w:szCs w:val="24"/>
              </w:rPr>
              <w:t xml:space="preserve"> překážek)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CD72AC" w:rsidRPr="00CD72AC" w:rsidRDefault="00CD72AC" w:rsidP="005243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524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 finanční zajištění personálních nákladů na práci s heterogenními skupinami dětí (např. asistentů pedagoga, pedagogické i nepedagogické pracovníky)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524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Velký počet dětí ve třídách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524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 kampaň/osvěta v oblasti inkluze/společného vzdělávání pro většinovou veřejnost, pro rodiče dětí se speciálními vzdělávacími potřebami apod.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CD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finančních prostředků pro realizaci mimoškolního vzdělávání pro znevýhodněné děti (např. výstavy, exkurze, kroužky apod.)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</w:tbl>
    <w:p w:rsidR="00CD72AC" w:rsidRDefault="00CD72AC" w:rsidP="001E7EFB">
      <w:pPr>
        <w:spacing w:after="0" w:line="240" w:lineRule="auto"/>
        <w:jc w:val="both"/>
        <w:rPr>
          <w:sz w:val="24"/>
          <w:szCs w:val="24"/>
        </w:rPr>
      </w:pPr>
    </w:p>
    <w:p w:rsidR="009D731A" w:rsidRDefault="009D731A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D72AC" w:rsidTr="005243B9">
        <w:tc>
          <w:tcPr>
            <w:tcW w:w="7479" w:type="dxa"/>
            <w:shd w:val="clear" w:color="auto" w:fill="FBD4B4" w:themeFill="accent6" w:themeFillTint="66"/>
          </w:tcPr>
          <w:p w:rsidR="00CD72AC" w:rsidRPr="00CD72AC" w:rsidRDefault="00CD72AC" w:rsidP="009D731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překážky v oblasti podpory inkluzivního/společného vzdělávání</w:t>
            </w:r>
            <w:r w:rsidR="009D731A">
              <w:rPr>
                <w:b/>
                <w:sz w:val="24"/>
                <w:szCs w:val="24"/>
              </w:rPr>
              <w:t xml:space="preserve"> (škola mohla zvolit pouze jednu překážku)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CD72AC" w:rsidRPr="00CD72AC" w:rsidRDefault="00CD72AC" w:rsidP="005243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524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Velký počet dětí ve třídách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CD72AC" w:rsidTr="005243B9">
        <w:tc>
          <w:tcPr>
            <w:tcW w:w="7479" w:type="dxa"/>
          </w:tcPr>
          <w:p w:rsidR="00CD72AC" w:rsidRDefault="009D731A" w:rsidP="009D7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 finanční zajištění personálních nákladů na práci s heterogenními skupinami dětí (např. asistentů pedagoga)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D731A" w:rsidRDefault="009D731A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CD72AC" w:rsidTr="005243B9">
        <w:tc>
          <w:tcPr>
            <w:tcW w:w="7479" w:type="dxa"/>
          </w:tcPr>
          <w:p w:rsidR="00CD72AC" w:rsidRDefault="009D731A" w:rsidP="00524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Technická nemožnost bezbariérových úprav školy</w:t>
            </w:r>
          </w:p>
        </w:tc>
        <w:tc>
          <w:tcPr>
            <w:tcW w:w="1733" w:type="dxa"/>
          </w:tcPr>
          <w:p w:rsidR="00CD72AC" w:rsidRDefault="009D731A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1E7EFB" w:rsidRDefault="001E7EFB" w:rsidP="001E7EFB">
      <w:pPr>
        <w:spacing w:after="0" w:line="240" w:lineRule="auto"/>
        <w:jc w:val="both"/>
        <w:rPr>
          <w:sz w:val="24"/>
          <w:szCs w:val="24"/>
        </w:rPr>
      </w:pPr>
    </w:p>
    <w:p w:rsidR="00427DA1" w:rsidRPr="00942154" w:rsidRDefault="00427DA1">
      <w:pPr>
        <w:spacing w:after="0" w:line="240" w:lineRule="auto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lastRenderedPageBreak/>
        <w:t>DOPORUČENÁ TÉMATA – TÉMATA B</w:t>
      </w:r>
    </w:p>
    <w:p w:rsidR="00427DA1" w:rsidRPr="00942154" w:rsidRDefault="00427DA1">
      <w:pPr>
        <w:spacing w:after="0" w:line="240" w:lineRule="auto"/>
        <w:rPr>
          <w:b/>
          <w:sz w:val="28"/>
          <w:szCs w:val="28"/>
        </w:rPr>
      </w:pPr>
    </w:p>
    <w:p w:rsidR="00427DA1" w:rsidRPr="00942154" w:rsidRDefault="00427DA1">
      <w:pPr>
        <w:spacing w:after="0" w:line="240" w:lineRule="auto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t>Téma č. 5 Rozvoj podnikavosti a iniciativy dětí a žáků</w:t>
      </w:r>
    </w:p>
    <w:p w:rsidR="00427DA1" w:rsidRDefault="00427DA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27DA1" w:rsidTr="00B37400">
        <w:tc>
          <w:tcPr>
            <w:tcW w:w="7479" w:type="dxa"/>
            <w:shd w:val="clear" w:color="auto" w:fill="FBD4B4" w:themeFill="accent6" w:themeFillTint="66"/>
          </w:tcPr>
          <w:p w:rsidR="00427DA1" w:rsidRPr="00CD72AC" w:rsidRDefault="00427DA1" w:rsidP="00427D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kompetencí k iniciativě a kreativitě - plánované zlepšení 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427DA1" w:rsidRPr="00CD72AC" w:rsidRDefault="00427DA1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dostatečným množstvím pomůcek pro rozvoj kreativity</w:t>
            </w:r>
          </w:p>
        </w:tc>
        <w:tc>
          <w:tcPr>
            <w:tcW w:w="1733" w:type="dxa"/>
          </w:tcPr>
          <w:p w:rsidR="00427DA1" w:rsidRDefault="00427DA1" w:rsidP="00427D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využívají poznatků v praxi a sdílejí dobrou praxi v oblasti rozvoje iniciativy a kreativity mezi sebou i s učiteli z jiných škol</w:t>
            </w:r>
          </w:p>
        </w:tc>
        <w:tc>
          <w:tcPr>
            <w:tcW w:w="1733" w:type="dxa"/>
          </w:tcPr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systematicky učí prvkům iniciativy a kreativity, prostředí i přístup pedagogů podporuje fantazii a iniciativu dětí</w:t>
            </w:r>
          </w:p>
        </w:tc>
        <w:tc>
          <w:tcPr>
            <w:tcW w:w="1733" w:type="dxa"/>
          </w:tcPr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</w:tbl>
    <w:p w:rsidR="00427DA1" w:rsidRDefault="00427DA1">
      <w:pPr>
        <w:spacing w:after="0" w:line="240" w:lineRule="auto"/>
        <w:rPr>
          <w:b/>
          <w:sz w:val="24"/>
          <w:szCs w:val="24"/>
        </w:rPr>
      </w:pPr>
    </w:p>
    <w:p w:rsidR="00427DA1" w:rsidRDefault="00427DA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27DA1" w:rsidTr="00B37400">
        <w:tc>
          <w:tcPr>
            <w:tcW w:w="7479" w:type="dxa"/>
            <w:shd w:val="clear" w:color="auto" w:fill="FBD4B4" w:themeFill="accent6" w:themeFillTint="66"/>
          </w:tcPr>
          <w:p w:rsidR="00427DA1" w:rsidRPr="00CD72AC" w:rsidRDefault="00427DA1" w:rsidP="00427D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podpory </w:t>
            </w:r>
            <w:r>
              <w:rPr>
                <w:b/>
                <w:sz w:val="24"/>
                <w:szCs w:val="24"/>
              </w:rPr>
              <w:t>kompetencí k iniciativě a kreativitě (škola mohla zvolit libovolný počet překážek)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427DA1" w:rsidRPr="00CD72AC" w:rsidRDefault="00427DA1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finančních prostředků pro zajištění pomůcek, literatury apod. pro rozvoj iniciativy a kreativity</w:t>
            </w:r>
          </w:p>
        </w:tc>
        <w:tc>
          <w:tcPr>
            <w:tcW w:w="1733" w:type="dxa"/>
          </w:tcPr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příležitosti k dalšímu vzdělávání pedagogických pracovníků v oblasti rozvoje iniciativy a kreativity</w:t>
            </w:r>
          </w:p>
        </w:tc>
        <w:tc>
          <w:tcPr>
            <w:tcW w:w="1733" w:type="dxa"/>
          </w:tcPr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Nedostupnost informačních a komunikačních technologií pro rozvoj iniciativy a kreativity</w:t>
            </w:r>
          </w:p>
        </w:tc>
        <w:tc>
          <w:tcPr>
            <w:tcW w:w="1733" w:type="dxa"/>
          </w:tcPr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</w:tbl>
    <w:p w:rsidR="00427DA1" w:rsidRDefault="00427DA1">
      <w:pPr>
        <w:spacing w:after="0" w:line="240" w:lineRule="auto"/>
        <w:rPr>
          <w:b/>
          <w:sz w:val="24"/>
          <w:szCs w:val="24"/>
        </w:rPr>
      </w:pPr>
    </w:p>
    <w:p w:rsidR="00427DA1" w:rsidRDefault="00427DA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27DA1" w:rsidTr="00B37400">
        <w:tc>
          <w:tcPr>
            <w:tcW w:w="7479" w:type="dxa"/>
            <w:shd w:val="clear" w:color="auto" w:fill="FBD4B4" w:themeFill="accent6" w:themeFillTint="66"/>
          </w:tcPr>
          <w:p w:rsidR="00427DA1" w:rsidRPr="00CD72AC" w:rsidRDefault="00427DA1" w:rsidP="00427D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překážky v oblasti podpory kompetencí k iniciativě a kreativitě (škola mohla zvolit pouze jednu překážku)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427DA1" w:rsidRPr="00CD72AC" w:rsidRDefault="00427DA1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427DA1" w:rsidTr="00B37400">
        <w:tc>
          <w:tcPr>
            <w:tcW w:w="7479" w:type="dxa"/>
          </w:tcPr>
          <w:p w:rsidR="00427DA1" w:rsidRDefault="00427DA1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7DA1" w:rsidRDefault="004F3542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finančních prostředků pro zajištění pomůcek, literatury apod. pro rozvoj iniciativy a kreativity – ale z pohledu významu a podílu jednotlivých překážek nelze podíl jednotlivých překážek vyčíslit</w:t>
            </w:r>
          </w:p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27DA1" w:rsidRDefault="00427DA1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57E38" w:rsidRDefault="00457E38">
      <w:pPr>
        <w:spacing w:after="0" w:line="240" w:lineRule="auto"/>
        <w:rPr>
          <w:b/>
          <w:sz w:val="24"/>
          <w:szCs w:val="24"/>
        </w:rPr>
      </w:pPr>
    </w:p>
    <w:p w:rsidR="00457E38" w:rsidRDefault="00457E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7E38" w:rsidRDefault="00457E38">
      <w:pPr>
        <w:spacing w:after="0" w:line="240" w:lineRule="auto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lastRenderedPageBreak/>
        <w:t xml:space="preserve">Téma č. 6 Rozvoj kompetencí dětí a žáků v polytechnickém vzdělávání </w:t>
      </w:r>
    </w:p>
    <w:p w:rsidR="004F3542" w:rsidRPr="004F3542" w:rsidRDefault="004F3542" w:rsidP="004F3542">
      <w:pPr>
        <w:spacing w:after="0" w:line="240" w:lineRule="auto"/>
        <w:jc w:val="both"/>
        <w:rPr>
          <w:b/>
          <w:sz w:val="24"/>
          <w:szCs w:val="24"/>
        </w:rPr>
      </w:pPr>
      <w:r w:rsidRPr="004F3542">
        <w:rPr>
          <w:b/>
          <w:sz w:val="24"/>
          <w:szCs w:val="24"/>
        </w:rPr>
        <w:t>(ve výsledcích  dotazníku MŠMT jsou zahrnuty zároveň i výsledky z tématu č. 7 Rozvoj kompetencí dětí a žáků v environmentálním vzdělávání, výchově a osvětě – EVVO, které zpracovatel MAP uvádí jako samostatné téma)</w:t>
      </w:r>
    </w:p>
    <w:p w:rsidR="00457E38" w:rsidRDefault="00457E38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57E38" w:rsidTr="00B37400">
        <w:tc>
          <w:tcPr>
            <w:tcW w:w="7479" w:type="dxa"/>
            <w:shd w:val="clear" w:color="auto" w:fill="FBD4B4" w:themeFill="accent6" w:themeFillTint="66"/>
          </w:tcPr>
          <w:p w:rsidR="00457E38" w:rsidRPr="00CD72AC" w:rsidRDefault="00457E38" w:rsidP="00457E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polytechnického vzdělávání - plánované zlepšení 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457E38" w:rsidRPr="00CD72AC" w:rsidRDefault="00457E3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vzdělávacími materiály pro vzdělávání polytechnického charakteru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dostatečným technickým a materiálním zabezpečením pro rozvíjení prostorového a logického myšlení a manuálních dovedností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využívá informační a komunikační technologie v oblasti rozvoje polytechnického vzdělávání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</w:tbl>
    <w:p w:rsidR="00457E38" w:rsidRDefault="00457E38">
      <w:pPr>
        <w:spacing w:after="0" w:line="240" w:lineRule="auto"/>
        <w:rPr>
          <w:b/>
          <w:sz w:val="24"/>
          <w:szCs w:val="24"/>
        </w:rPr>
      </w:pPr>
    </w:p>
    <w:p w:rsidR="00457E38" w:rsidRDefault="00457E38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57E38" w:rsidTr="00B37400">
        <w:tc>
          <w:tcPr>
            <w:tcW w:w="7479" w:type="dxa"/>
            <w:shd w:val="clear" w:color="auto" w:fill="FBD4B4" w:themeFill="accent6" w:themeFillTint="66"/>
          </w:tcPr>
          <w:p w:rsidR="00457E38" w:rsidRPr="00CD72AC" w:rsidRDefault="00457E38" w:rsidP="00457E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podpory </w:t>
            </w:r>
            <w:r>
              <w:rPr>
                <w:b/>
                <w:sz w:val="24"/>
                <w:szCs w:val="24"/>
              </w:rPr>
              <w:t>polytechnického vzdělávání (škola mohla zvolit libovolný počet překážek)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457E38" w:rsidRPr="00CD72AC" w:rsidRDefault="00457E3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457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podporu polytechnického vzdělávání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pozice samostatného pracovníka nebo pracovníků pro rozvoj polytechnického vzdělávání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či žádné vybavení pomůckami pro rozvoj polytechnického vzdělávání (vybavení tříd, heren, hřišť, keramických dílen apod.)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</w:tbl>
    <w:p w:rsidR="00457E38" w:rsidRDefault="00457E38">
      <w:pPr>
        <w:spacing w:after="0" w:line="240" w:lineRule="auto"/>
        <w:rPr>
          <w:b/>
          <w:sz w:val="24"/>
          <w:szCs w:val="24"/>
        </w:rPr>
      </w:pPr>
    </w:p>
    <w:p w:rsidR="00457E38" w:rsidRDefault="00457E38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57E38" w:rsidTr="00B37400">
        <w:tc>
          <w:tcPr>
            <w:tcW w:w="7479" w:type="dxa"/>
            <w:shd w:val="clear" w:color="auto" w:fill="FBD4B4" w:themeFill="accent6" w:themeFillTint="66"/>
          </w:tcPr>
          <w:p w:rsidR="00457E38" w:rsidRPr="00CD72AC" w:rsidRDefault="00457E38" w:rsidP="00457E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překážky v oblasti podpory poly</w:t>
            </w:r>
            <w:r w:rsidR="004F3542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echnického vzdělávání (škola mohla zvolit pouze jednu překážku)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457E38" w:rsidRPr="00CD72AC" w:rsidRDefault="00457E3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podporu polytechnického vzdělávání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či žádné vybavení pomůckami pro rozvoj polytechnického vzdělávání (vybavení tříd, heren, hřišť, keramických dílen apod.)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457E38" w:rsidTr="00B37400">
        <w:tc>
          <w:tcPr>
            <w:tcW w:w="7479" w:type="dxa"/>
          </w:tcPr>
          <w:p w:rsidR="00457E38" w:rsidRDefault="00457E3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pozice samostatného pracovníka nebo pracovníků pro rozvoj polytechnického vzdělávání</w:t>
            </w:r>
          </w:p>
        </w:tc>
        <w:tc>
          <w:tcPr>
            <w:tcW w:w="1733" w:type="dxa"/>
          </w:tcPr>
          <w:p w:rsidR="00457E38" w:rsidRDefault="00457E3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57E38" w:rsidRDefault="00457E38" w:rsidP="00457E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</w:tbl>
    <w:p w:rsidR="00427DA1" w:rsidRDefault="00427DA1">
      <w:pPr>
        <w:spacing w:after="0" w:line="240" w:lineRule="auto"/>
        <w:rPr>
          <w:b/>
          <w:sz w:val="24"/>
          <w:szCs w:val="24"/>
        </w:rPr>
      </w:pPr>
    </w:p>
    <w:p w:rsidR="001173C1" w:rsidRDefault="001173C1">
      <w:pPr>
        <w:spacing w:after="0" w:line="240" w:lineRule="auto"/>
        <w:rPr>
          <w:b/>
          <w:sz w:val="24"/>
          <w:szCs w:val="24"/>
        </w:rPr>
      </w:pPr>
    </w:p>
    <w:p w:rsidR="001173C1" w:rsidRDefault="001173C1">
      <w:pPr>
        <w:spacing w:after="0" w:line="240" w:lineRule="auto"/>
        <w:rPr>
          <w:b/>
          <w:sz w:val="24"/>
          <w:szCs w:val="24"/>
        </w:rPr>
      </w:pPr>
    </w:p>
    <w:p w:rsidR="001173C1" w:rsidRDefault="001173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37F7" w:rsidRDefault="009A37F7" w:rsidP="009A37F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VOLITELNÁ</w:t>
      </w:r>
      <w:r w:rsidRPr="00942154">
        <w:rPr>
          <w:b/>
          <w:sz w:val="28"/>
          <w:szCs w:val="28"/>
        </w:rPr>
        <w:t xml:space="preserve"> TÉMATA – TÉMATA </w:t>
      </w:r>
      <w:r>
        <w:rPr>
          <w:b/>
          <w:sz w:val="28"/>
          <w:szCs w:val="28"/>
        </w:rPr>
        <w:t>C</w:t>
      </w:r>
    </w:p>
    <w:p w:rsidR="009A37F7" w:rsidRDefault="009A37F7" w:rsidP="009A37F7">
      <w:pPr>
        <w:spacing w:after="0" w:line="240" w:lineRule="auto"/>
        <w:jc w:val="both"/>
        <w:rPr>
          <w:b/>
          <w:sz w:val="28"/>
          <w:szCs w:val="28"/>
        </w:rPr>
      </w:pPr>
    </w:p>
    <w:p w:rsidR="009A37F7" w:rsidRPr="00942154" w:rsidRDefault="009A37F7" w:rsidP="009A37F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č. 11 Rozvoj sociálních a občanských kompetencí dětí a žáků</w:t>
      </w:r>
    </w:p>
    <w:p w:rsidR="009A37F7" w:rsidRDefault="009A37F7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9A37F7" w:rsidRPr="00CD72AC" w:rsidTr="009A37F7">
        <w:tc>
          <w:tcPr>
            <w:tcW w:w="7479" w:type="dxa"/>
            <w:shd w:val="clear" w:color="auto" w:fill="FBD4B4" w:themeFill="accent6" w:themeFillTint="66"/>
          </w:tcPr>
          <w:p w:rsidR="009A37F7" w:rsidRPr="00CD72AC" w:rsidRDefault="009A37F7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a občanské dovednosti a další klíčové kompetence - plánované zlepšení 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9A37F7" w:rsidRPr="00CD72AC" w:rsidRDefault="009A37F7" w:rsidP="009A37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MŠ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9A37F7" w:rsidTr="00545A85">
        <w:tc>
          <w:tcPr>
            <w:tcW w:w="7479" w:type="dxa"/>
          </w:tcPr>
          <w:p w:rsidR="009A37F7" w:rsidRDefault="009A37F7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rozvíjí vztah k bezpečnému používání informačních, komunikačních a dalších technologií</w:t>
            </w:r>
          </w:p>
        </w:tc>
        <w:tc>
          <w:tcPr>
            <w:tcW w:w="1733" w:type="dxa"/>
          </w:tcPr>
          <w:p w:rsidR="009A37F7" w:rsidRDefault="009A37F7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A37F7" w:rsidRDefault="009A37F7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A37F7" w:rsidTr="00545A85">
        <w:tc>
          <w:tcPr>
            <w:tcW w:w="7479" w:type="dxa"/>
          </w:tcPr>
          <w:p w:rsidR="009A37F7" w:rsidRDefault="009A37F7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rozvíjí schopností dětí učit se</w:t>
            </w:r>
          </w:p>
        </w:tc>
        <w:tc>
          <w:tcPr>
            <w:tcW w:w="1733" w:type="dxa"/>
          </w:tcPr>
          <w:p w:rsidR="009A37F7" w:rsidRDefault="009A37F7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A37F7" w:rsidTr="00545A85">
        <w:tc>
          <w:tcPr>
            <w:tcW w:w="7479" w:type="dxa"/>
          </w:tcPr>
          <w:p w:rsidR="009A37F7" w:rsidRDefault="009A37F7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 je pěstována kultura komunikace mezi všemi účastníky vzdělávání</w:t>
            </w:r>
          </w:p>
        </w:tc>
        <w:tc>
          <w:tcPr>
            <w:tcW w:w="1733" w:type="dxa"/>
          </w:tcPr>
          <w:p w:rsidR="009A37F7" w:rsidRDefault="009A37F7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A37F7" w:rsidRDefault="009A37F7" w:rsidP="009A37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9A37F7" w:rsidTr="00545A85">
        <w:tc>
          <w:tcPr>
            <w:tcW w:w="7479" w:type="dxa"/>
          </w:tcPr>
          <w:p w:rsidR="009A37F7" w:rsidRPr="00E73804" w:rsidRDefault="009A37F7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 je pěstováno kulturní povědomí a kulturní komunikace (tj. rozvoj tvůrčího vyjadřování myšlenek, zážitků a emocí různými formami využití hudby, divadelního umění, literatury a vizuálního umění)</w:t>
            </w:r>
          </w:p>
        </w:tc>
        <w:tc>
          <w:tcPr>
            <w:tcW w:w="1733" w:type="dxa"/>
          </w:tcPr>
          <w:p w:rsidR="009A37F7" w:rsidRDefault="009A37F7" w:rsidP="00545A85">
            <w:pPr>
              <w:jc w:val="right"/>
            </w:pPr>
          </w:p>
          <w:p w:rsidR="00C141B1" w:rsidRPr="00C141B1" w:rsidRDefault="00C141B1" w:rsidP="00545A85">
            <w:pPr>
              <w:jc w:val="right"/>
              <w:rPr>
                <w:sz w:val="24"/>
                <w:szCs w:val="24"/>
              </w:rPr>
            </w:pPr>
            <w:r w:rsidRPr="00C141B1">
              <w:rPr>
                <w:sz w:val="24"/>
                <w:szCs w:val="24"/>
              </w:rPr>
              <w:t>51,7</w:t>
            </w:r>
          </w:p>
        </w:tc>
      </w:tr>
      <w:tr w:rsidR="00C141B1" w:rsidTr="00C141B1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Uvnitř školy se pěstuje vzájemná spolupráce učitele, rodičů a dětí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C141B1" w:rsidTr="00C141B1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rozvíjí schopnost říct si o pomoc a ochotu nabídnout a poskytnout pomoc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C141B1" w:rsidTr="00C141B1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směřuje k přípravě na výuku v základní škole, k základním společenským návykům a pravidlům chování v různých prostředích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</w:tbl>
    <w:p w:rsidR="009A37F7" w:rsidRDefault="009A37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731A" w:rsidRPr="00942154" w:rsidRDefault="00211F28" w:rsidP="001E7EFB">
      <w:pPr>
        <w:spacing w:after="0" w:line="240" w:lineRule="auto"/>
        <w:jc w:val="both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lastRenderedPageBreak/>
        <w:t>VLASTNÍ NAVRŽENÁ TÉMATA – TÉMATA D</w:t>
      </w:r>
    </w:p>
    <w:p w:rsidR="00211F28" w:rsidRPr="00942154" w:rsidRDefault="00211F28" w:rsidP="001E7EFB">
      <w:pPr>
        <w:spacing w:after="0" w:line="240" w:lineRule="auto"/>
        <w:jc w:val="both"/>
        <w:rPr>
          <w:sz w:val="28"/>
          <w:szCs w:val="28"/>
        </w:rPr>
      </w:pPr>
    </w:p>
    <w:p w:rsidR="00211F28" w:rsidRPr="00942154" w:rsidRDefault="00211F28" w:rsidP="001E7EFB">
      <w:pPr>
        <w:spacing w:after="0" w:line="240" w:lineRule="auto"/>
        <w:jc w:val="both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t xml:space="preserve">Téma č. 13 Čtenářská </w:t>
      </w:r>
      <w:proofErr w:type="spellStart"/>
      <w:r w:rsidRPr="00942154">
        <w:rPr>
          <w:b/>
          <w:sz w:val="28"/>
          <w:szCs w:val="28"/>
        </w:rPr>
        <w:t>pregramotnost</w:t>
      </w:r>
      <w:proofErr w:type="spellEnd"/>
      <w:r w:rsidRPr="00942154">
        <w:rPr>
          <w:b/>
          <w:sz w:val="28"/>
          <w:szCs w:val="28"/>
        </w:rPr>
        <w:t xml:space="preserve"> v předškolním vzdělávání</w:t>
      </w:r>
    </w:p>
    <w:p w:rsidR="00211F28" w:rsidRDefault="00211F28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211F28" w:rsidTr="00B37400">
        <w:tc>
          <w:tcPr>
            <w:tcW w:w="7479" w:type="dxa"/>
            <w:shd w:val="clear" w:color="auto" w:fill="FBD4B4" w:themeFill="accent6" w:themeFillTint="66"/>
          </w:tcPr>
          <w:p w:rsidR="00211F28" w:rsidRPr="00CD72AC" w:rsidRDefault="00211F2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Rozvoj čtenářské </w:t>
            </w:r>
            <w:proofErr w:type="spellStart"/>
            <w:r>
              <w:rPr>
                <w:b/>
                <w:sz w:val="24"/>
                <w:szCs w:val="24"/>
              </w:rPr>
              <w:t>pregramotnosti</w:t>
            </w:r>
            <w:proofErr w:type="spellEnd"/>
            <w:r>
              <w:rPr>
                <w:b/>
                <w:sz w:val="24"/>
                <w:szCs w:val="24"/>
              </w:rPr>
              <w:t xml:space="preserve"> - plánované zlepšení 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211F28" w:rsidRPr="00CD72AC" w:rsidRDefault="00211F2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211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Škola informuje a spolupracuje v oblasti rozvoje čtenářské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s rodiči (např. představení služeb školy v oblasti čtenářské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, služeb knihovny, kroužků, aktivit spojených s čtenářskou </w:t>
            </w:r>
            <w:proofErr w:type="spellStart"/>
            <w:r>
              <w:rPr>
                <w:sz w:val="24"/>
                <w:szCs w:val="24"/>
              </w:rPr>
              <w:t>pregramotností</w:t>
            </w:r>
            <w:proofErr w:type="spellEnd"/>
            <w:r>
              <w:rPr>
                <w:sz w:val="24"/>
                <w:szCs w:val="24"/>
              </w:rPr>
              <w:t xml:space="preserve"> apod.)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11F28" w:rsidRDefault="00211F28" w:rsidP="00211F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211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Učitelé MŠ rozvíjejí své znalosti v oblasti čtenářské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a využívají je ve výchově (kurzy dalšího vzdělávání, studium literatury aj.)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211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Škola disponuje dostatečným technickým a materiálním zabezpečením v oblasti čtenářské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</w:tbl>
    <w:p w:rsidR="00211F28" w:rsidRDefault="00211F28" w:rsidP="001E7EFB">
      <w:pPr>
        <w:spacing w:after="0" w:line="240" w:lineRule="auto"/>
        <w:jc w:val="both"/>
        <w:rPr>
          <w:sz w:val="24"/>
          <w:szCs w:val="24"/>
        </w:rPr>
      </w:pPr>
    </w:p>
    <w:p w:rsidR="006B45E8" w:rsidRDefault="006B45E8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211F28" w:rsidTr="00B37400">
        <w:tc>
          <w:tcPr>
            <w:tcW w:w="7479" w:type="dxa"/>
            <w:shd w:val="clear" w:color="auto" w:fill="FBD4B4" w:themeFill="accent6" w:themeFillTint="66"/>
          </w:tcPr>
          <w:p w:rsidR="00211F28" w:rsidRPr="00CD72AC" w:rsidRDefault="00211F28" w:rsidP="00211F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 xml:space="preserve">rozvoje čtenářské </w:t>
            </w:r>
            <w:proofErr w:type="spellStart"/>
            <w:r>
              <w:rPr>
                <w:b/>
                <w:sz w:val="24"/>
                <w:szCs w:val="24"/>
              </w:rPr>
              <w:t>pregramotnosti</w:t>
            </w:r>
            <w:proofErr w:type="spellEnd"/>
            <w:r>
              <w:rPr>
                <w:b/>
                <w:sz w:val="24"/>
                <w:szCs w:val="24"/>
              </w:rPr>
              <w:t xml:space="preserve"> - (škola mohla zvolit libovolný počet překážek)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211F28" w:rsidRPr="00CD72AC" w:rsidRDefault="00211F2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stabilní finanční podpory pro rozvoj příslušné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(nedostatečné materiálně technické zázemí, chybějící finance na inovace a výměnu pomůcek k rozvoji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>, nedostatečný počet pomůcek apod.)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interaktivních metod a pomůcek pro rozvoj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C11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Nízká úroveň kooperace školy s dalšími aktéry </w:t>
            </w:r>
            <w:r w:rsidR="00C11C0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 rozvoji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(projekty se školami, s obcemi, science centry, neziskovými organizacemi apod.)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</w:tbl>
    <w:p w:rsidR="00211F28" w:rsidRDefault="00211F28" w:rsidP="001E7EFB">
      <w:pPr>
        <w:spacing w:after="0" w:line="240" w:lineRule="auto"/>
        <w:jc w:val="both"/>
        <w:rPr>
          <w:sz w:val="24"/>
          <w:szCs w:val="24"/>
        </w:rPr>
      </w:pPr>
    </w:p>
    <w:p w:rsidR="006B45E8" w:rsidRDefault="006B45E8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211F28" w:rsidTr="00B37400">
        <w:tc>
          <w:tcPr>
            <w:tcW w:w="7479" w:type="dxa"/>
            <w:shd w:val="clear" w:color="auto" w:fill="FBD4B4" w:themeFill="accent6" w:themeFillTint="66"/>
          </w:tcPr>
          <w:p w:rsidR="00211F28" w:rsidRPr="00CD72AC" w:rsidRDefault="00211F28" w:rsidP="003E1F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</w:t>
            </w:r>
            <w:r w:rsidRPr="00CD72AC">
              <w:rPr>
                <w:b/>
                <w:sz w:val="24"/>
                <w:szCs w:val="24"/>
              </w:rPr>
              <w:t xml:space="preserve">řekážky v oblasti </w:t>
            </w:r>
            <w:r>
              <w:rPr>
                <w:b/>
                <w:sz w:val="24"/>
                <w:szCs w:val="24"/>
              </w:rPr>
              <w:t xml:space="preserve">rozvoje čtenářské </w:t>
            </w:r>
            <w:proofErr w:type="spellStart"/>
            <w:r>
              <w:rPr>
                <w:b/>
                <w:sz w:val="24"/>
                <w:szCs w:val="24"/>
              </w:rPr>
              <w:t>pregramotnosti</w:t>
            </w:r>
            <w:proofErr w:type="spellEnd"/>
            <w:r>
              <w:rPr>
                <w:b/>
                <w:sz w:val="24"/>
                <w:szCs w:val="24"/>
              </w:rPr>
              <w:t xml:space="preserve"> - (škola mohla zvolit </w:t>
            </w:r>
            <w:r w:rsidR="003E1FDF">
              <w:rPr>
                <w:b/>
                <w:sz w:val="24"/>
                <w:szCs w:val="24"/>
              </w:rPr>
              <w:t>pouze jednu</w:t>
            </w:r>
            <w:r>
              <w:rPr>
                <w:b/>
                <w:sz w:val="24"/>
                <w:szCs w:val="24"/>
              </w:rPr>
              <w:t xml:space="preserve"> překáž</w:t>
            </w:r>
            <w:r w:rsidR="003E1FDF">
              <w:rPr>
                <w:b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211F28" w:rsidRPr="00CD72AC" w:rsidRDefault="00211F28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211F28" w:rsidTr="00B37400">
        <w:tc>
          <w:tcPr>
            <w:tcW w:w="7479" w:type="dxa"/>
          </w:tcPr>
          <w:p w:rsidR="00211F28" w:rsidRDefault="00211F28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stabilní finanční podpory pro rozvoj příslušné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(nedostatečné materiálně technické zázemí, chybějící finance na inovace a výměnu pomůcek k rozvoji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>, nedostatečný počet pomůcek apod.)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11F28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11F28" w:rsidTr="00B37400">
        <w:tc>
          <w:tcPr>
            <w:tcW w:w="7479" w:type="dxa"/>
          </w:tcPr>
          <w:p w:rsidR="00211F28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 kvalita didaktických materiálů (pracovní listy, úlohy, rébusy apod.)</w:t>
            </w:r>
          </w:p>
        </w:tc>
        <w:tc>
          <w:tcPr>
            <w:tcW w:w="1733" w:type="dxa"/>
          </w:tcPr>
          <w:p w:rsidR="00211F28" w:rsidRDefault="00211F28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211F28" w:rsidTr="00B37400">
        <w:tc>
          <w:tcPr>
            <w:tcW w:w="7479" w:type="dxa"/>
          </w:tcPr>
          <w:p w:rsidR="00211F28" w:rsidRDefault="003E1FDF" w:rsidP="003E1F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interaktivních metod a pomůcek pro rozvoj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211F28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3E1F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 uplatňování individuálního přístupu k dětem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3E1F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Nedostupnost informačních a komunikačních technologií pro rozvoj příslušné gramotnosti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</w:tbl>
    <w:p w:rsidR="00211F28" w:rsidRDefault="00211F28" w:rsidP="001E7EFB">
      <w:pPr>
        <w:spacing w:after="0" w:line="240" w:lineRule="auto"/>
        <w:jc w:val="both"/>
        <w:rPr>
          <w:sz w:val="24"/>
          <w:szCs w:val="24"/>
        </w:rPr>
      </w:pPr>
    </w:p>
    <w:p w:rsidR="003E1FDF" w:rsidRDefault="003E1F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1FDF" w:rsidRDefault="003E1FDF" w:rsidP="001E7EFB">
      <w:pPr>
        <w:spacing w:after="0" w:line="240" w:lineRule="auto"/>
        <w:jc w:val="both"/>
        <w:rPr>
          <w:sz w:val="24"/>
          <w:szCs w:val="24"/>
        </w:rPr>
      </w:pPr>
    </w:p>
    <w:p w:rsidR="003E1FDF" w:rsidRPr="00942154" w:rsidRDefault="003E1FDF" w:rsidP="001E7EFB">
      <w:pPr>
        <w:spacing w:after="0" w:line="240" w:lineRule="auto"/>
        <w:jc w:val="both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t xml:space="preserve">Téma č. 14 Matematická </w:t>
      </w:r>
      <w:proofErr w:type="spellStart"/>
      <w:r w:rsidRPr="00942154">
        <w:rPr>
          <w:b/>
          <w:sz w:val="28"/>
          <w:szCs w:val="28"/>
        </w:rPr>
        <w:t>pregramotnost</w:t>
      </w:r>
      <w:proofErr w:type="spellEnd"/>
      <w:r w:rsidRPr="00942154">
        <w:rPr>
          <w:b/>
          <w:sz w:val="28"/>
          <w:szCs w:val="28"/>
        </w:rPr>
        <w:t xml:space="preserve"> v předškolním vzdělávání</w:t>
      </w:r>
    </w:p>
    <w:p w:rsidR="003E1FDF" w:rsidRDefault="003E1FDF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E1FDF" w:rsidTr="00B37400">
        <w:tc>
          <w:tcPr>
            <w:tcW w:w="7479" w:type="dxa"/>
            <w:shd w:val="clear" w:color="auto" w:fill="FBD4B4" w:themeFill="accent6" w:themeFillTint="66"/>
          </w:tcPr>
          <w:p w:rsidR="003E1FDF" w:rsidRPr="00CD72AC" w:rsidRDefault="003E1FDF" w:rsidP="003E1F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Rozvoj matematické </w:t>
            </w:r>
            <w:proofErr w:type="spellStart"/>
            <w:r>
              <w:rPr>
                <w:b/>
                <w:sz w:val="24"/>
                <w:szCs w:val="24"/>
              </w:rPr>
              <w:t>pregramotnosti</w:t>
            </w:r>
            <w:proofErr w:type="spellEnd"/>
            <w:r>
              <w:rPr>
                <w:b/>
                <w:sz w:val="24"/>
                <w:szCs w:val="24"/>
              </w:rPr>
              <w:t xml:space="preserve"> - plánované zlepšení 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3E1FDF" w:rsidRPr="00CD72AC" w:rsidRDefault="003E1FDF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3E1F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Škola disponuje dostatečným technickým a materiálním zabezpečením pro rozvoj matematické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3E1F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Škola pravidelně nakupuje aktuální literaturu, multimédia pro rozvoj matematické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 škole jsou využívány interaktivní metody a pomůcky v oblasti rozvoje matematické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</w:tbl>
    <w:p w:rsidR="003E1FDF" w:rsidRDefault="003E1FDF" w:rsidP="001E7EFB">
      <w:pPr>
        <w:spacing w:after="0" w:line="240" w:lineRule="auto"/>
        <w:jc w:val="both"/>
        <w:rPr>
          <w:sz w:val="24"/>
          <w:szCs w:val="24"/>
        </w:rPr>
      </w:pPr>
    </w:p>
    <w:p w:rsidR="003E1FDF" w:rsidRDefault="003E1FDF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E1FDF" w:rsidTr="00B37400">
        <w:tc>
          <w:tcPr>
            <w:tcW w:w="7479" w:type="dxa"/>
            <w:shd w:val="clear" w:color="auto" w:fill="FBD4B4" w:themeFill="accent6" w:themeFillTint="66"/>
          </w:tcPr>
          <w:p w:rsidR="003E1FDF" w:rsidRPr="00CD72AC" w:rsidRDefault="003E1FDF" w:rsidP="003E1F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 xml:space="preserve">rozvoje matematické </w:t>
            </w:r>
            <w:proofErr w:type="spellStart"/>
            <w:r>
              <w:rPr>
                <w:b/>
                <w:sz w:val="24"/>
                <w:szCs w:val="24"/>
              </w:rPr>
              <w:t>pregramotnosti</w:t>
            </w:r>
            <w:proofErr w:type="spellEnd"/>
            <w:r>
              <w:rPr>
                <w:b/>
                <w:sz w:val="24"/>
                <w:szCs w:val="24"/>
              </w:rPr>
              <w:t xml:space="preserve"> - (škola mohla zvolit libovolný počet překážek)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3E1FDF" w:rsidRPr="00CD72AC" w:rsidRDefault="003E1FDF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stabilní finanční podpory pro rozvoj příslušné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(nedostatečné materiálně technické zázemí, chybějící finance na inovace a výměnu pomůcek k rozvoji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>, nedostatečný počet pomůcek apod.)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interaktivních metod a pomůcek pro rozvoj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Nedostatečný rozvoj </w:t>
            </w:r>
            <w:proofErr w:type="spellStart"/>
            <w:r>
              <w:rPr>
                <w:sz w:val="24"/>
                <w:szCs w:val="24"/>
              </w:rPr>
              <w:t>mentoringu</w:t>
            </w:r>
            <w:proofErr w:type="spellEnd"/>
            <w:r>
              <w:rPr>
                <w:sz w:val="24"/>
                <w:szCs w:val="24"/>
              </w:rPr>
              <w:t xml:space="preserve"> a dalších kolegiálních forem podpory na škole ve vztahu k příslušným gramotnostem (malá kreativita, stereotyp vyučujících, nízká </w:t>
            </w:r>
            <w:proofErr w:type="spellStart"/>
            <w:r>
              <w:rPr>
                <w:sz w:val="24"/>
                <w:szCs w:val="24"/>
              </w:rPr>
              <w:t>sebemotivace</w:t>
            </w:r>
            <w:proofErr w:type="spellEnd"/>
            <w:r>
              <w:rPr>
                <w:sz w:val="24"/>
                <w:szCs w:val="24"/>
              </w:rPr>
              <w:t xml:space="preserve"> apod.)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</w:tbl>
    <w:p w:rsidR="003E1FDF" w:rsidRDefault="003E1FDF" w:rsidP="001E7EFB">
      <w:pPr>
        <w:spacing w:after="0" w:line="240" w:lineRule="auto"/>
        <w:jc w:val="both"/>
        <w:rPr>
          <w:sz w:val="24"/>
          <w:szCs w:val="24"/>
        </w:rPr>
      </w:pPr>
    </w:p>
    <w:p w:rsidR="006B45E8" w:rsidRDefault="006B45E8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E1FDF" w:rsidTr="00B37400">
        <w:tc>
          <w:tcPr>
            <w:tcW w:w="7479" w:type="dxa"/>
            <w:shd w:val="clear" w:color="auto" w:fill="FBD4B4" w:themeFill="accent6" w:themeFillTint="66"/>
          </w:tcPr>
          <w:p w:rsidR="003E1FDF" w:rsidRPr="00CD72AC" w:rsidRDefault="003E1FDF" w:rsidP="003E1F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</w:t>
            </w:r>
            <w:r w:rsidRPr="00CD72AC">
              <w:rPr>
                <w:b/>
                <w:sz w:val="24"/>
                <w:szCs w:val="24"/>
              </w:rPr>
              <w:t xml:space="preserve">řekážky v oblasti </w:t>
            </w:r>
            <w:r>
              <w:rPr>
                <w:b/>
                <w:sz w:val="24"/>
                <w:szCs w:val="24"/>
              </w:rPr>
              <w:t xml:space="preserve">rozvoje matematické </w:t>
            </w:r>
            <w:proofErr w:type="spellStart"/>
            <w:r>
              <w:rPr>
                <w:b/>
                <w:sz w:val="24"/>
                <w:szCs w:val="24"/>
              </w:rPr>
              <w:t>pregramotnosti</w:t>
            </w:r>
            <w:proofErr w:type="spellEnd"/>
            <w:r>
              <w:rPr>
                <w:b/>
                <w:sz w:val="24"/>
                <w:szCs w:val="24"/>
              </w:rPr>
              <w:t xml:space="preserve"> - (škola mohla zvolit pouze jednu překážku)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3E1FDF" w:rsidRPr="00CD72AC" w:rsidRDefault="003E1FDF" w:rsidP="00B374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stabilní finanční podpory pro rozvoj příslušné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(nedostatečné materiálně technické zázemí, chybějící finance na inovace a výměnu pomůcek k rozvoji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>, nedostatečný počet pomůcek apod.)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 kvalita didaktických materiálů (pracovní listy, úlohy, rébusy apod.)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interaktivních metod a pomůcek pro rozvoj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 uplatňování individuálního přístupu k dětem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E1FDF" w:rsidTr="00B37400">
        <w:tc>
          <w:tcPr>
            <w:tcW w:w="7479" w:type="dxa"/>
          </w:tcPr>
          <w:p w:rsidR="003E1FDF" w:rsidRDefault="003E1FDF" w:rsidP="00B37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Nedostupnost informačních a komunikačních technologií pro rozvoj příslušné gramotnosti</w:t>
            </w:r>
          </w:p>
        </w:tc>
        <w:tc>
          <w:tcPr>
            <w:tcW w:w="1733" w:type="dxa"/>
          </w:tcPr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E1FDF" w:rsidRDefault="003E1FDF" w:rsidP="00B37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</w:tbl>
    <w:p w:rsidR="003E1FDF" w:rsidRDefault="003E1FDF" w:rsidP="001E7EFB">
      <w:pPr>
        <w:spacing w:after="0" w:line="240" w:lineRule="auto"/>
        <w:jc w:val="both"/>
        <w:rPr>
          <w:sz w:val="24"/>
          <w:szCs w:val="24"/>
        </w:rPr>
      </w:pPr>
    </w:p>
    <w:p w:rsidR="00C141B1" w:rsidRDefault="00C14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41B1" w:rsidRPr="00A764D4" w:rsidRDefault="00C141B1" w:rsidP="00C141B1">
      <w:pPr>
        <w:spacing w:after="0" w:line="240" w:lineRule="auto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lastRenderedPageBreak/>
        <w:t>TÉMATA Z DOTAZNÍKU MŠMT NEZAŘAZENÁ MEZI HLAVNÍ TÉMATA MAP ORP JIČÍN</w:t>
      </w:r>
    </w:p>
    <w:p w:rsidR="00C141B1" w:rsidRPr="00703C5A" w:rsidRDefault="00C141B1" w:rsidP="00C141B1">
      <w:pPr>
        <w:spacing w:after="0" w:line="240" w:lineRule="auto"/>
        <w:rPr>
          <w:b/>
          <w:sz w:val="28"/>
          <w:szCs w:val="28"/>
        </w:rPr>
      </w:pPr>
    </w:p>
    <w:p w:rsidR="00C141B1" w:rsidRPr="00E275CD" w:rsidRDefault="00C141B1" w:rsidP="00C141B1">
      <w:pPr>
        <w:spacing w:after="0" w:line="240" w:lineRule="auto"/>
        <w:rPr>
          <w:b/>
          <w:sz w:val="28"/>
          <w:szCs w:val="28"/>
        </w:rPr>
      </w:pPr>
      <w:r w:rsidRPr="00E275CD">
        <w:rPr>
          <w:b/>
          <w:sz w:val="28"/>
          <w:szCs w:val="28"/>
        </w:rPr>
        <w:t>Téma: Podpora digitálních kompetencí pedagogických pracovníků</w:t>
      </w:r>
    </w:p>
    <w:p w:rsidR="00C141B1" w:rsidRDefault="00C141B1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141B1" w:rsidTr="00545A85">
        <w:tc>
          <w:tcPr>
            <w:tcW w:w="7479" w:type="dxa"/>
            <w:shd w:val="clear" w:color="auto" w:fill="FBD4B4" w:themeFill="accent6" w:themeFillTint="66"/>
          </w:tcPr>
          <w:p w:rsidR="00C141B1" w:rsidRPr="00CD72AC" w:rsidRDefault="00C141B1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Digitální kompetence pedagogických pracovníků - plánované zlepšení v období 2016-2018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C141B1" w:rsidRPr="00CD72AC" w:rsidRDefault="00C141B1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C141B1" w:rsidTr="00545A85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 mají základní znalosti práce s počítačem a využívají je pro sebevzdělávání a přípravu na vzdělávání dětí (práce s operačním systémem, aplikacemi, soubory, tvorba textových dokumentů apod.)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C141B1" w:rsidTr="00545A85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 mají základní znalosti práce s internetem a využívají je pro sebevzdělávání a přípravu na vzdělávání dětí (vyhledávání, stahování, tisk podkladů pro práci s dětmi, znalost bezpečného chování na internetu apod.)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</w:tbl>
    <w:p w:rsidR="00C141B1" w:rsidRDefault="00C141B1">
      <w:pPr>
        <w:spacing w:after="0" w:line="240" w:lineRule="auto"/>
        <w:rPr>
          <w:sz w:val="24"/>
          <w:szCs w:val="24"/>
        </w:rPr>
      </w:pPr>
    </w:p>
    <w:p w:rsidR="00C141B1" w:rsidRDefault="00C141B1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141B1" w:rsidTr="00545A85">
        <w:tc>
          <w:tcPr>
            <w:tcW w:w="7479" w:type="dxa"/>
            <w:shd w:val="clear" w:color="auto" w:fill="FBD4B4" w:themeFill="accent6" w:themeFillTint="66"/>
          </w:tcPr>
          <w:p w:rsidR="00C141B1" w:rsidRPr="00CD72AC" w:rsidRDefault="00C141B1" w:rsidP="00C141B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>podpory digitálních kompetencí pedagogických pracovníků - (škola mohla zvolit libovolný počet překážek)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C141B1" w:rsidRPr="00CD72AC" w:rsidRDefault="00C141B1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C141B1" w:rsidTr="00545A85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pořízení moderního ICT vybavení (včetně údržby stávající techniky)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C141B1" w:rsidTr="00545A85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/ zastaralé ICT vybavení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C141B1" w:rsidTr="00545A85">
        <w:tc>
          <w:tcPr>
            <w:tcW w:w="7479" w:type="dxa"/>
          </w:tcPr>
          <w:p w:rsidR="00C141B1" w:rsidRDefault="00C141B1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příležitostí k dalšímu vzdělávání pedagogických pracovníků v oblasti digitálních kompetencí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C141B1" w:rsidRDefault="00C141B1">
      <w:pPr>
        <w:spacing w:after="0" w:line="240" w:lineRule="auto"/>
        <w:rPr>
          <w:sz w:val="24"/>
          <w:szCs w:val="24"/>
        </w:rPr>
      </w:pPr>
    </w:p>
    <w:p w:rsidR="00C141B1" w:rsidRDefault="00C141B1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141B1" w:rsidTr="00545A85">
        <w:tc>
          <w:tcPr>
            <w:tcW w:w="7479" w:type="dxa"/>
            <w:shd w:val="clear" w:color="auto" w:fill="FBD4B4" w:themeFill="accent6" w:themeFillTint="66"/>
          </w:tcPr>
          <w:p w:rsidR="00C141B1" w:rsidRPr="00CD72AC" w:rsidRDefault="00C141B1" w:rsidP="00C141B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</w:t>
            </w:r>
            <w:r w:rsidRPr="00CD72AC">
              <w:rPr>
                <w:b/>
                <w:sz w:val="24"/>
                <w:szCs w:val="24"/>
              </w:rPr>
              <w:t xml:space="preserve">řekážky v oblasti </w:t>
            </w:r>
            <w:r>
              <w:rPr>
                <w:b/>
                <w:sz w:val="24"/>
                <w:szCs w:val="24"/>
              </w:rPr>
              <w:t>podpory digitálních kompetencí pedagogických pracovníků - (škola mohla zvolit pouze jednu překážku)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C141B1" w:rsidRPr="00CD72AC" w:rsidRDefault="00C141B1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Podíl MŠ v rámci ORP %</w:t>
            </w:r>
          </w:p>
        </w:tc>
      </w:tr>
      <w:tr w:rsidR="00C141B1" w:rsidTr="00545A85">
        <w:tc>
          <w:tcPr>
            <w:tcW w:w="7479" w:type="dxa"/>
          </w:tcPr>
          <w:p w:rsidR="00C141B1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pořízení moderního ICT vybavení (včetně údržby stávající techniky)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141B1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</w:tr>
      <w:tr w:rsidR="00C141B1" w:rsidTr="00545A85">
        <w:tc>
          <w:tcPr>
            <w:tcW w:w="7479" w:type="dxa"/>
          </w:tcPr>
          <w:p w:rsidR="00C141B1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/ zastaralé ICT vybavení</w:t>
            </w:r>
          </w:p>
        </w:tc>
        <w:tc>
          <w:tcPr>
            <w:tcW w:w="1733" w:type="dxa"/>
          </w:tcPr>
          <w:p w:rsidR="00C141B1" w:rsidRDefault="001220A8" w:rsidP="00122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C141B1" w:rsidTr="00545A85">
        <w:tc>
          <w:tcPr>
            <w:tcW w:w="7479" w:type="dxa"/>
          </w:tcPr>
          <w:p w:rsidR="00C141B1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příležitostí k dalšímu vzdělávání pedagogických pracovníků v oblasti digitálních kompetencí</w:t>
            </w:r>
          </w:p>
        </w:tc>
        <w:tc>
          <w:tcPr>
            <w:tcW w:w="1733" w:type="dxa"/>
          </w:tcPr>
          <w:p w:rsidR="00C141B1" w:rsidRDefault="00C141B1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</w:tbl>
    <w:p w:rsidR="001220A8" w:rsidRDefault="00C835F8" w:rsidP="001220A8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220A8" w:rsidRPr="00E275CD">
        <w:rPr>
          <w:b/>
          <w:sz w:val="28"/>
          <w:szCs w:val="28"/>
        </w:rPr>
        <w:lastRenderedPageBreak/>
        <w:t xml:space="preserve">Téma: Rozvoj infrastruktury </w:t>
      </w:r>
      <w:r w:rsidR="001220A8">
        <w:rPr>
          <w:b/>
          <w:sz w:val="28"/>
          <w:szCs w:val="28"/>
        </w:rPr>
        <w:t>mateřských</w:t>
      </w:r>
      <w:r w:rsidR="001220A8" w:rsidRPr="00E275CD">
        <w:rPr>
          <w:b/>
          <w:sz w:val="28"/>
          <w:szCs w:val="28"/>
        </w:rPr>
        <w:t xml:space="preserve"> škol </w:t>
      </w:r>
    </w:p>
    <w:p w:rsidR="001220A8" w:rsidRPr="00E275CD" w:rsidRDefault="001220A8" w:rsidP="001220A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220A8" w:rsidRPr="00CD72AC" w:rsidTr="00703C5A">
        <w:tc>
          <w:tcPr>
            <w:tcW w:w="7479" w:type="dxa"/>
            <w:shd w:val="clear" w:color="auto" w:fill="FBD4B4" w:themeFill="accent6" w:themeFillTint="66"/>
            <w:vAlign w:val="center"/>
          </w:tcPr>
          <w:p w:rsidR="001220A8" w:rsidRPr="00CD72AC" w:rsidRDefault="001220A8" w:rsidP="00703C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Investice v letech 2010 - 2015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1220A8" w:rsidRPr="00CD72AC" w:rsidRDefault="001220A8" w:rsidP="001220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MŠ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1220A8" w:rsidTr="00703C5A">
        <w:tc>
          <w:tcPr>
            <w:tcW w:w="7479" w:type="dxa"/>
          </w:tcPr>
          <w:p w:rsidR="001220A8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podíl škol, které v posledních 5 letech investovaly v rámci evropských projektů do infrastruktury školy (stavba, rekonstrukce, modernizace budovy, učebny, místnosti, dvora apod.)</w:t>
            </w:r>
          </w:p>
        </w:tc>
        <w:tc>
          <w:tcPr>
            <w:tcW w:w="1733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</w:tr>
      <w:tr w:rsidR="001220A8" w:rsidTr="00703C5A">
        <w:tc>
          <w:tcPr>
            <w:tcW w:w="7479" w:type="dxa"/>
          </w:tcPr>
          <w:p w:rsidR="001220A8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podíl škol, které v posledních 5 letech investovaly v rámci evropských projektů do vnitřního vybavení školy</w:t>
            </w:r>
          </w:p>
        </w:tc>
        <w:tc>
          <w:tcPr>
            <w:tcW w:w="1733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</w:tbl>
    <w:p w:rsidR="001220A8" w:rsidRDefault="001220A8" w:rsidP="001220A8">
      <w:pPr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1220A8" w:rsidRPr="00CD72AC" w:rsidTr="00703C5A">
        <w:tc>
          <w:tcPr>
            <w:tcW w:w="5353" w:type="dxa"/>
            <w:vMerge w:val="restart"/>
            <w:shd w:val="clear" w:color="auto" w:fill="FBD4B4" w:themeFill="accent6" w:themeFillTint="66"/>
            <w:vAlign w:val="center"/>
          </w:tcPr>
          <w:p w:rsidR="001220A8" w:rsidRPr="00CD72AC" w:rsidRDefault="001220A8" w:rsidP="00703C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Investice do příslušné stavby / rekonstrukce školy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20A8" w:rsidRPr="00CD72AC" w:rsidRDefault="001220A8" w:rsidP="00122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MŠ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1220A8" w:rsidTr="00703C5A">
        <w:tc>
          <w:tcPr>
            <w:tcW w:w="5353" w:type="dxa"/>
            <w:vMerge/>
            <w:shd w:val="clear" w:color="auto" w:fill="FBD4B4" w:themeFill="accent6" w:themeFillTint="66"/>
          </w:tcPr>
          <w:p w:rsidR="001220A8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Investice 2010 – 2015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2016 – 2018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2019 – 2020</w:t>
            </w:r>
          </w:p>
        </w:tc>
      </w:tr>
      <w:tr w:rsidR="001220A8" w:rsidTr="00703C5A">
        <w:tc>
          <w:tcPr>
            <w:tcW w:w="5353" w:type="dxa"/>
          </w:tcPr>
          <w:p w:rsidR="001220A8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rekonstrukce, udržovací práce a modernizace pláště budov, zateplení budov (projekty energeticky udržitelné školy apod.)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275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1220A8" w:rsidTr="00703C5A">
        <w:tc>
          <w:tcPr>
            <w:tcW w:w="5353" w:type="dxa"/>
          </w:tcPr>
          <w:p w:rsidR="001220A8" w:rsidRDefault="001220A8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vybavení na podporu podnětného venkovního prostředí školy např. hřiště, zahrady apod.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275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220A8" w:rsidTr="00703C5A">
        <w:tc>
          <w:tcPr>
            <w:tcW w:w="5353" w:type="dxa"/>
          </w:tcPr>
          <w:p w:rsidR="001220A8" w:rsidRDefault="001220A8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rekonstrukce tříd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275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220A8" w:rsidTr="00703C5A">
        <w:tc>
          <w:tcPr>
            <w:tcW w:w="5353" w:type="dxa"/>
          </w:tcPr>
          <w:p w:rsidR="001220A8" w:rsidRDefault="001220A8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rekonstrukce prostor na podporu polytechnického vzdělávání (např. keramická dílna)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1220A8" w:rsidTr="00703C5A">
        <w:tc>
          <w:tcPr>
            <w:tcW w:w="5353" w:type="dxa"/>
          </w:tcPr>
          <w:p w:rsidR="001220A8" w:rsidRDefault="001220A8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Bezbariérové stavební úpravy a rekonstrukce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1220A8" w:rsidRDefault="001220A8" w:rsidP="001220A8">
      <w:pPr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1220A8" w:rsidRPr="00CD72AC" w:rsidTr="00703C5A">
        <w:tc>
          <w:tcPr>
            <w:tcW w:w="5353" w:type="dxa"/>
            <w:vMerge w:val="restart"/>
            <w:shd w:val="clear" w:color="auto" w:fill="FBD4B4" w:themeFill="accent6" w:themeFillTint="66"/>
            <w:vAlign w:val="center"/>
          </w:tcPr>
          <w:p w:rsidR="001220A8" w:rsidRPr="00CD72AC" w:rsidRDefault="001220A8" w:rsidP="00703C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Investice do vybavení školy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20A8" w:rsidRPr="00CD72AC" w:rsidRDefault="001220A8" w:rsidP="001220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MŠ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1220A8" w:rsidTr="00703C5A">
        <w:tc>
          <w:tcPr>
            <w:tcW w:w="5353" w:type="dxa"/>
            <w:vMerge/>
            <w:shd w:val="clear" w:color="auto" w:fill="FBD4B4" w:themeFill="accent6" w:themeFillTint="66"/>
          </w:tcPr>
          <w:p w:rsidR="001220A8" w:rsidRDefault="001220A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Investice 2010 – 2015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2016 – 2018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1220A8" w:rsidRPr="004046D3" w:rsidRDefault="001220A8" w:rsidP="0070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2019 – 2020</w:t>
            </w:r>
          </w:p>
        </w:tc>
      </w:tr>
      <w:tr w:rsidR="00511CEE" w:rsidTr="00703C5A">
        <w:tc>
          <w:tcPr>
            <w:tcW w:w="5353" w:type="dxa"/>
          </w:tcPr>
          <w:p w:rsidR="00511CEE" w:rsidRDefault="00511CEE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výpočetní technikou pro potřeby pedagogických pracovníků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275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11CEE" w:rsidTr="00703C5A">
        <w:tc>
          <w:tcPr>
            <w:tcW w:w="5353" w:type="dxa"/>
          </w:tcPr>
          <w:p w:rsidR="00511CEE" w:rsidRDefault="00511CEE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didaktické pomůcky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1220A8" w:rsidTr="00703C5A">
        <w:tc>
          <w:tcPr>
            <w:tcW w:w="5353" w:type="dxa"/>
          </w:tcPr>
          <w:p w:rsidR="001220A8" w:rsidRDefault="001220A8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na podporu podnětného vnitřního prostředí školy např. čtenářské koutky, prostor na rozvoj </w:t>
            </w:r>
            <w:r w:rsidR="00440158">
              <w:rPr>
                <w:sz w:val="24"/>
                <w:szCs w:val="24"/>
              </w:rPr>
              <w:t xml:space="preserve">jednotlivých </w:t>
            </w:r>
            <w:proofErr w:type="spellStart"/>
            <w:r>
              <w:rPr>
                <w:sz w:val="24"/>
                <w:szCs w:val="24"/>
              </w:rPr>
              <w:t>pregramotností</w:t>
            </w:r>
            <w:proofErr w:type="spellEnd"/>
            <w:r>
              <w:rPr>
                <w:sz w:val="24"/>
                <w:szCs w:val="24"/>
              </w:rPr>
              <w:t>, polytechnických dovedností apod.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0A8" w:rsidRDefault="001220A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511CEE" w:rsidTr="00703C5A">
        <w:tc>
          <w:tcPr>
            <w:tcW w:w="5353" w:type="dxa"/>
          </w:tcPr>
          <w:p w:rsidR="00511CEE" w:rsidRDefault="00511CEE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tabule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11CEE" w:rsidTr="00703C5A">
        <w:tc>
          <w:tcPr>
            <w:tcW w:w="5353" w:type="dxa"/>
          </w:tcPr>
          <w:p w:rsidR="00511CEE" w:rsidRDefault="00511CEE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pro ICT techniku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11CEE" w:rsidTr="00703C5A">
        <w:tc>
          <w:tcPr>
            <w:tcW w:w="5353" w:type="dxa"/>
          </w:tcPr>
          <w:p w:rsidR="00511CEE" w:rsidRDefault="00511CEE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prostorů školy na rozvoj polytechnických dovedností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511CEE" w:rsidTr="00703C5A">
        <w:tc>
          <w:tcPr>
            <w:tcW w:w="5353" w:type="dxa"/>
          </w:tcPr>
          <w:p w:rsidR="00511CEE" w:rsidRDefault="00511CEE" w:rsidP="00122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třídy</w:t>
            </w: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EE" w:rsidRDefault="00511CEE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</w:tbl>
    <w:p w:rsidR="00C835F8" w:rsidRDefault="00C835F8" w:rsidP="001E7EFB">
      <w:pPr>
        <w:spacing w:after="0" w:line="240" w:lineRule="auto"/>
        <w:jc w:val="both"/>
        <w:rPr>
          <w:sz w:val="24"/>
          <w:szCs w:val="24"/>
        </w:rPr>
        <w:sectPr w:rsidR="00C835F8" w:rsidSect="006479A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35F8" w:rsidRDefault="00C835F8" w:rsidP="001E7EFB">
      <w:pPr>
        <w:spacing w:after="0" w:line="240" w:lineRule="auto"/>
        <w:jc w:val="both"/>
        <w:rPr>
          <w:sz w:val="24"/>
          <w:szCs w:val="24"/>
        </w:rPr>
      </w:pPr>
    </w:p>
    <w:p w:rsidR="00C835F8" w:rsidRDefault="00C835F8" w:rsidP="00C835F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C835F8">
        <w:rPr>
          <w:noProof/>
          <w:sz w:val="24"/>
          <w:szCs w:val="24"/>
          <w:lang w:eastAsia="cs-CZ"/>
        </w:rPr>
        <w:drawing>
          <wp:inline distT="0" distB="0" distL="0" distR="0">
            <wp:extent cx="8401050" cy="4886325"/>
            <wp:effectExtent l="0" t="0" r="19050" b="9525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C835F8" w:rsidSect="00C835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F0" w:rsidRDefault="007613F0" w:rsidP="00D450D0">
      <w:pPr>
        <w:spacing w:after="0" w:line="240" w:lineRule="auto"/>
      </w:pPr>
      <w:r>
        <w:separator/>
      </w:r>
    </w:p>
  </w:endnote>
  <w:endnote w:type="continuationSeparator" w:id="0">
    <w:p w:rsidR="007613F0" w:rsidRDefault="007613F0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F0" w:rsidRDefault="007613F0" w:rsidP="00D450D0">
      <w:pPr>
        <w:spacing w:after="0" w:line="240" w:lineRule="auto"/>
      </w:pPr>
      <w:r>
        <w:separator/>
      </w:r>
    </w:p>
  </w:footnote>
  <w:footnote w:type="continuationSeparator" w:id="0">
    <w:p w:rsidR="007613F0" w:rsidRDefault="007613F0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D118C4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B5583"/>
    <w:multiLevelType w:val="hybridMultilevel"/>
    <w:tmpl w:val="A92C6B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04166F5"/>
    <w:multiLevelType w:val="hybridMultilevel"/>
    <w:tmpl w:val="72C46826"/>
    <w:lvl w:ilvl="0" w:tplc="543E2EA8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ED04914"/>
    <w:multiLevelType w:val="hybridMultilevel"/>
    <w:tmpl w:val="AFBAFA04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1301"/>
    <w:rsid w:val="000232B3"/>
    <w:rsid w:val="000309D0"/>
    <w:rsid w:val="00045940"/>
    <w:rsid w:val="0005143F"/>
    <w:rsid w:val="00084682"/>
    <w:rsid w:val="0010795D"/>
    <w:rsid w:val="001173C1"/>
    <w:rsid w:val="001220A8"/>
    <w:rsid w:val="00163707"/>
    <w:rsid w:val="001A2E46"/>
    <w:rsid w:val="001E7EFB"/>
    <w:rsid w:val="001F52E9"/>
    <w:rsid w:val="00211F28"/>
    <w:rsid w:val="00235283"/>
    <w:rsid w:val="002E40CE"/>
    <w:rsid w:val="003002A7"/>
    <w:rsid w:val="00301D9F"/>
    <w:rsid w:val="003C224D"/>
    <w:rsid w:val="003E1FDF"/>
    <w:rsid w:val="00427DA1"/>
    <w:rsid w:val="00440158"/>
    <w:rsid w:val="00446BCF"/>
    <w:rsid w:val="00454866"/>
    <w:rsid w:val="00457E38"/>
    <w:rsid w:val="004A481A"/>
    <w:rsid w:val="004F3542"/>
    <w:rsid w:val="00511CEE"/>
    <w:rsid w:val="00556B6B"/>
    <w:rsid w:val="00585F22"/>
    <w:rsid w:val="00642A1D"/>
    <w:rsid w:val="006479AA"/>
    <w:rsid w:val="00673F00"/>
    <w:rsid w:val="0068422D"/>
    <w:rsid w:val="00691951"/>
    <w:rsid w:val="006B45E8"/>
    <w:rsid w:val="006F4BC5"/>
    <w:rsid w:val="00703C5A"/>
    <w:rsid w:val="007613F0"/>
    <w:rsid w:val="008F28D0"/>
    <w:rsid w:val="00942154"/>
    <w:rsid w:val="009A37F7"/>
    <w:rsid w:val="009A7CDB"/>
    <w:rsid w:val="009A7DB0"/>
    <w:rsid w:val="009D731A"/>
    <w:rsid w:val="00A354FC"/>
    <w:rsid w:val="00A357AD"/>
    <w:rsid w:val="00AB46D2"/>
    <w:rsid w:val="00AB525B"/>
    <w:rsid w:val="00AC5965"/>
    <w:rsid w:val="00AD7300"/>
    <w:rsid w:val="00B26E35"/>
    <w:rsid w:val="00B677D5"/>
    <w:rsid w:val="00B7105E"/>
    <w:rsid w:val="00B737BE"/>
    <w:rsid w:val="00BC7797"/>
    <w:rsid w:val="00BD2472"/>
    <w:rsid w:val="00C11C06"/>
    <w:rsid w:val="00C141B1"/>
    <w:rsid w:val="00C835F8"/>
    <w:rsid w:val="00CD72AC"/>
    <w:rsid w:val="00D118C4"/>
    <w:rsid w:val="00D235FF"/>
    <w:rsid w:val="00D450D0"/>
    <w:rsid w:val="00E865F7"/>
    <w:rsid w:val="00EC4ECF"/>
    <w:rsid w:val="00F344D6"/>
    <w:rsid w:val="00F6503E"/>
    <w:rsid w:val="00F70A84"/>
    <w:rsid w:val="00F8290D"/>
    <w:rsid w:val="00FC5156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E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E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rize\Desktop\MAS%20OZJ\MAP\Podklady\MS_5207_(137037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Průměrné hodnocení MŠ v hlavních</a:t>
            </a:r>
            <a:r>
              <a:rPr lang="cs-CZ" sz="1400" baseline="0"/>
              <a:t> a vedlejších </a:t>
            </a:r>
            <a:r>
              <a:rPr lang="cs-CZ" sz="1400"/>
              <a:t>oblastech podporovaných z OP</a:t>
            </a:r>
            <a:r>
              <a:rPr lang="cs-CZ" sz="1400" baseline="0"/>
              <a:t> </a:t>
            </a:r>
            <a:r>
              <a:rPr lang="cs-CZ" sz="1600" baseline="0"/>
              <a:t/>
            </a:r>
            <a:br>
              <a:rPr lang="cs-CZ" sz="1600" baseline="0"/>
            </a:br>
            <a:r>
              <a:rPr lang="cs-CZ" sz="1200"/>
              <a:t>na škále</a:t>
            </a:r>
            <a:r>
              <a:rPr lang="cs-CZ" sz="1200" baseline="0"/>
              <a:t> 1</a:t>
            </a:r>
            <a:r>
              <a:rPr lang="cs-CZ" sz="1200"/>
              <a:t> (=</a:t>
            </a:r>
            <a:r>
              <a:rPr lang="cs-CZ" sz="1200" baseline="0"/>
              <a:t> </a:t>
            </a:r>
            <a:r>
              <a:rPr lang="cs-CZ" sz="1200"/>
              <a:t>vůbec nebo téměř se neuplatňuje) až 4 (=</a:t>
            </a:r>
            <a:r>
              <a:rPr lang="cs-CZ" sz="1200" baseline="0"/>
              <a:t> </a:t>
            </a:r>
            <a:r>
              <a:rPr lang="cs-CZ" sz="1200"/>
              <a:t>ideální</a:t>
            </a:r>
            <a:r>
              <a:rPr lang="cs-CZ" sz="1200" baseline="0"/>
              <a:t> stav)</a:t>
            </a:r>
            <a:endParaRPr lang="cs-CZ" sz="1200"/>
          </a:p>
        </c:rich>
      </c:tx>
      <c:layout>
        <c:manualLayout>
          <c:xMode val="edge"/>
          <c:yMode val="edge"/>
          <c:x val="0.1475623880348289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425116091257756E-2"/>
          <c:y val="0.15225470993009191"/>
          <c:w val="0.92969454202840185"/>
          <c:h val="0.6802973057957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Oblasti_rozvoje!$S$17</c:f>
              <c:strCache>
                <c:ptCount val="1"/>
                <c:pt idx="0">
                  <c:v>v rámci ORP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spPr>
                <a:noFill/>
              </c:spPr>
              <c:txPr>
                <a:bodyPr rot="0" vert="horz" anchor="b" anchorCtr="1"/>
                <a:lstStyle/>
                <a:p>
                  <a:pPr>
                    <a:defRPr sz="800"/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(Oblasti_rozvoje!$R$18:$R$22,Oblasti_rozvoje!$R$24:$R$25)</c:f>
              <c:strCache>
                <c:ptCount val="7"/>
                <c:pt idx="0">
                  <c:v>Inkluzivní / společné vzdělávání</c:v>
                </c:pt>
                <c:pt idx="1">
                  <c:v>Rozvoj čtenářské pregramotnosti</c:v>
                </c:pt>
                <c:pt idx="2">
                  <c:v>Rozvoj matematické pregramotnosti</c:v>
                </c:pt>
                <c:pt idx="3">
                  <c:v>Kompetence k iniciativě a kreativitě dětí</c:v>
                </c:pt>
                <c:pt idx="4">
                  <c:v>Polytechnické vzdělávání</c:v>
                </c:pt>
                <c:pt idx="5">
                  <c:v>Digitální kompetence pedagogických pracovníků</c:v>
                </c:pt>
                <c:pt idx="6">
                  <c:v>Sociální a občanské dovednosti a další klíčové kompetence </c:v>
                </c:pt>
              </c:strCache>
            </c:strRef>
          </c:cat>
          <c:val>
            <c:numRef>
              <c:f>(Oblasti_rozvoje!$S$18:$S$22,Oblasti_rozvoje!$S$24:$S$25)</c:f>
              <c:numCache>
                <c:formatCode>0.00</c:formatCode>
                <c:ptCount val="7"/>
                <c:pt idx="0">
                  <c:v>2.5045372050816743</c:v>
                </c:pt>
                <c:pt idx="1">
                  <c:v>2.7310344827586213</c:v>
                </c:pt>
                <c:pt idx="2">
                  <c:v>2.5478927203065154</c:v>
                </c:pt>
                <c:pt idx="3">
                  <c:v>2.9310344827586197</c:v>
                </c:pt>
                <c:pt idx="4">
                  <c:v>2.4106583072100287</c:v>
                </c:pt>
                <c:pt idx="5">
                  <c:v>2.9655172413793154</c:v>
                </c:pt>
                <c:pt idx="6">
                  <c:v>3.1149425287356314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CE-44BB-8934-0F43E2007732}"/>
            </c:ext>
          </c:extLst>
        </c:ser>
        <c:ser>
          <c:idx val="1"/>
          <c:order val="1"/>
          <c:tx>
            <c:strRef>
              <c:f>Oblasti_rozvoje!$T$17</c:f>
              <c:strCache>
                <c:ptCount val="1"/>
                <c:pt idx="0">
                  <c:v>v rámci kraje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(Oblasti_rozvoje!$R$18:$R$22,Oblasti_rozvoje!$R$24:$R$25)</c:f>
              <c:strCache>
                <c:ptCount val="7"/>
                <c:pt idx="0">
                  <c:v>Inkluzivní / společné vzdělávání</c:v>
                </c:pt>
                <c:pt idx="1">
                  <c:v>Rozvoj čtenářské pregramotnosti</c:v>
                </c:pt>
                <c:pt idx="2">
                  <c:v>Rozvoj matematické pregramotnosti</c:v>
                </c:pt>
                <c:pt idx="3">
                  <c:v>Kompetence k iniciativě a kreativitě dětí</c:v>
                </c:pt>
                <c:pt idx="4">
                  <c:v>Polytechnické vzdělávání</c:v>
                </c:pt>
                <c:pt idx="5">
                  <c:v>Digitální kompetence pedagogických pracovníků</c:v>
                </c:pt>
                <c:pt idx="6">
                  <c:v>Sociální a občanské dovednosti a další klíčové kompetence </c:v>
                </c:pt>
              </c:strCache>
            </c:strRef>
          </c:cat>
          <c:val>
            <c:numRef>
              <c:f>(Oblasti_rozvoje!$T$18:$T$22,Oblasti_rozvoje!$T$24:$T$25)</c:f>
              <c:numCache>
                <c:formatCode>0.00</c:formatCode>
                <c:ptCount val="7"/>
                <c:pt idx="0">
                  <c:v>2.5043258832011532</c:v>
                </c:pt>
                <c:pt idx="1">
                  <c:v>2.6705479452054801</c:v>
                </c:pt>
                <c:pt idx="2">
                  <c:v>2.4733637747336381</c:v>
                </c:pt>
                <c:pt idx="3">
                  <c:v>2.9255136986301382</c:v>
                </c:pt>
                <c:pt idx="4">
                  <c:v>2.2808219178082201</c:v>
                </c:pt>
                <c:pt idx="5">
                  <c:v>2.8921232876712342</c:v>
                </c:pt>
                <c:pt idx="6">
                  <c:v>3.1088280060882827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CE-44BB-8934-0F43E2007732}"/>
            </c:ext>
          </c:extLst>
        </c:ser>
        <c:ser>
          <c:idx val="2"/>
          <c:order val="2"/>
          <c:tx>
            <c:strRef>
              <c:f>Oblasti_rozvoje!$U$17</c:f>
              <c:strCache>
                <c:ptCount val="1"/>
                <c:pt idx="0">
                  <c:v>v rámci ČR </c:v>
                </c:pt>
              </c:strCache>
            </c:strRef>
          </c:tx>
          <c:spPr>
            <a:solidFill>
              <a:srgbClr val="800000"/>
            </a:solidFill>
            <a:ln>
              <a:solidFill>
                <a:srgbClr val="660033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(Oblasti_rozvoje!$R$18:$R$22,Oblasti_rozvoje!$R$24:$R$25)</c:f>
              <c:strCache>
                <c:ptCount val="7"/>
                <c:pt idx="0">
                  <c:v>Inkluzivní / společné vzdělávání</c:v>
                </c:pt>
                <c:pt idx="1">
                  <c:v>Rozvoj čtenářské pregramotnosti</c:v>
                </c:pt>
                <c:pt idx="2">
                  <c:v>Rozvoj matematické pregramotnosti</c:v>
                </c:pt>
                <c:pt idx="3">
                  <c:v>Kompetence k iniciativě a kreativitě dětí</c:v>
                </c:pt>
                <c:pt idx="4">
                  <c:v>Polytechnické vzdělávání</c:v>
                </c:pt>
                <c:pt idx="5">
                  <c:v>Digitální kompetence pedagogických pracovníků</c:v>
                </c:pt>
                <c:pt idx="6">
                  <c:v>Sociální a občanské dovednosti a další klíčové kompetence </c:v>
                </c:pt>
              </c:strCache>
            </c:strRef>
          </c:cat>
          <c:val>
            <c:numRef>
              <c:f>(Oblasti_rozvoje!$U$18:$U$22,Oblasti_rozvoje!$U$24:$U$25)</c:f>
              <c:numCache>
                <c:formatCode>0.00</c:formatCode>
                <c:ptCount val="7"/>
                <c:pt idx="0">
                  <c:v>2.5134385665529053</c:v>
                </c:pt>
                <c:pt idx="1">
                  <c:v>2.6297568259385597</c:v>
                </c:pt>
                <c:pt idx="2">
                  <c:v>2.4086793704967748</c:v>
                </c:pt>
                <c:pt idx="3">
                  <c:v>2.9023837457337884</c:v>
                </c:pt>
                <c:pt idx="4">
                  <c:v>2.2474790567794032</c:v>
                </c:pt>
                <c:pt idx="5">
                  <c:v>2.8900383959044369</c:v>
                </c:pt>
                <c:pt idx="6">
                  <c:v>3.0446530147894761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CE-44BB-8934-0F43E2007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2"/>
        <c:axId val="103876096"/>
        <c:axId val="103877632"/>
      </c:barChart>
      <c:catAx>
        <c:axId val="10387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877632"/>
        <c:crosses val="autoZero"/>
        <c:auto val="1"/>
        <c:lblAlgn val="ctr"/>
        <c:lblOffset val="100"/>
        <c:noMultiLvlLbl val="0"/>
      </c:catAx>
      <c:valAx>
        <c:axId val="103877632"/>
        <c:scaling>
          <c:orientation val="minMax"/>
          <c:max val="4"/>
          <c:min val="1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00" sourceLinked="0"/>
        <c:majorTickMark val="out"/>
        <c:minorTickMark val="none"/>
        <c:tickLblPos val="nextTo"/>
        <c:crossAx val="103876096"/>
        <c:crosses val="autoZero"/>
        <c:crossBetween val="between"/>
        <c:majorUnit val="0.5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35043747223904786"/>
          <c:y val="9.8041972327264651E-2"/>
          <c:w val="0.29912494784305893"/>
          <c:h val="4.8787176456744075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0.71417</cdr:x>
      <cdr:y>0.19174</cdr:y>
    </cdr:from>
    <cdr:to>
      <cdr:x>0.96711</cdr:x>
      <cdr:y>0.22792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31144" y="1147377"/>
          <a:ext cx="2348531" cy="21650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75000"/>
            </a:schemeClr>
          </a:solidFill>
        </a:ln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cs-CZ" sz="1000"/>
            <a:t>vedlejší</a:t>
          </a:r>
          <a:r>
            <a:rPr lang="cs-CZ" sz="1000" baseline="0"/>
            <a:t> oblasti</a:t>
          </a:r>
          <a:endParaRPr lang="cs-CZ" sz="1000"/>
        </a:p>
      </cdr:txBody>
    </cdr:sp>
  </cdr:relSizeAnchor>
  <cdr:relSizeAnchor xmlns:cdr="http://schemas.openxmlformats.org/drawingml/2006/chartDrawing">
    <cdr:from>
      <cdr:x>0.06371</cdr:x>
      <cdr:y>0.19175</cdr:y>
    </cdr:from>
    <cdr:to>
      <cdr:x>0.70321</cdr:x>
      <cdr:y>0.22792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591551" y="1147437"/>
          <a:ext cx="5937800" cy="21644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75000"/>
            </a:schemeClr>
          </a:solidFill>
        </a:ln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cs-CZ" sz="1000"/>
            <a:t>hlavní oblasti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1878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4</cp:revision>
  <cp:lastPrinted>2016-05-22T23:54:00Z</cp:lastPrinted>
  <dcterms:created xsi:type="dcterms:W3CDTF">2016-06-05T21:41:00Z</dcterms:created>
  <dcterms:modified xsi:type="dcterms:W3CDTF">2016-06-05T21:50:00Z</dcterms:modified>
</cp:coreProperties>
</file>